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333-292590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SUPPLEMENT DATED August 10, 2026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JANUARY 20,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20,100,833 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18,071,500 Shares of Common Stock Issuable Upon Conversion of the Convertible Notes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12,852,500 Shares of Common Stock Issuable Upon Exercise of the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contained in the prospectus dated January 20, 2026 (as may be supplemented or amended from time to time,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which forms part of our registration statement on Form S-1 (File No. 333-292590) with the information contained in our Annual Report on Form 10-Q that was filed with the Securities and Exchange Commission on May 14, 2026 (the “</w:t>
      </w:r>
      <w:r>
        <w:rPr>
          <w:rFonts w:ascii="Times New Roman;Times;Serif" w:hAnsi="Times New Roman;Times;Serif"/>
          <w:b w:val="false"/>
          <w:i w:val="false"/>
          <w:caps w:val="false"/>
          <w:smallCaps w:val="false"/>
          <w:sz w:val="20"/>
          <w:u w:val="single"/>
        </w:rPr>
        <w:t>Annual Report</w:t>
      </w:r>
      <w:r>
        <w:rPr>
          <w:rFonts w:ascii="Times New Roman;Times;Serif" w:hAnsi="Times New Roman;Times;Serif"/>
          <w:b w:val="false"/>
          <w:i w:val="false"/>
          <w:caps w:val="false"/>
          <w:smallCaps w:val="false"/>
          <w:sz w:val="20"/>
        </w:rPr>
        <w:t>”). Accordingly, we have attached the Annual Report to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relates to 51,024,833 shares of our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which consists of (i) the resale of up to 20,100,833 shares of our Common Stock by certain of the selling securityholders named in this prospectus (each a “</w:t>
      </w:r>
      <w:r>
        <w:rPr>
          <w:rFonts w:ascii="Times New Roman;Times;Serif" w:hAnsi="Times New Roman;Times;Serif"/>
          <w:b w:val="false"/>
          <w:i w:val="false"/>
          <w:caps w:val="false"/>
          <w:smallCaps w:val="false"/>
          <w:sz w:val="20"/>
          <w:u w:val="single"/>
        </w:rPr>
        <w:t>Selling Securityholder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Selling Securityholders</w:t>
      </w:r>
      <w:r>
        <w:rPr>
          <w:rFonts w:ascii="Times New Roman;Times;Serif" w:hAnsi="Times New Roman;Times;Serif"/>
          <w:b w:val="false"/>
          <w:i w:val="false"/>
          <w:caps w:val="false"/>
          <w:smallCaps w:val="false"/>
          <w:sz w:val="20"/>
        </w:rPr>
        <w:t>”), (ii) the resale of up to 18,071,500 shares of Common Stock issuable upon conversion of the Convertible Notes (as defined below) by the Selling Securityholders, and (iii) the issuance by the Company of up to 12,852,500 shares of Common Stock that are issuable upon the exercise of 12,852,500 warrants, including 12,500,000 public warrants (the “</w:t>
      </w:r>
      <w:r>
        <w:rPr>
          <w:rFonts w:ascii="Times New Roman;Times;Serif" w:hAnsi="Times New Roman;Times;Serif"/>
          <w:b w:val="false"/>
          <w:i w:val="false"/>
          <w:caps w:val="false"/>
          <w:smallCaps w:val="false"/>
          <w:sz w:val="20"/>
          <w:u w:val="single"/>
        </w:rPr>
        <w:t>Public Warrants</w:t>
      </w:r>
      <w:r>
        <w:rPr>
          <w:rFonts w:ascii="Times New Roman;Times;Serif" w:hAnsi="Times New Roman;Times;Serif"/>
          <w:b w:val="false"/>
          <w:i w:val="false"/>
          <w:caps w:val="false"/>
          <w:smallCaps w:val="false"/>
          <w:sz w:val="20"/>
        </w:rPr>
        <w:t>”) and 352,500 private warrants (the “</w:t>
      </w:r>
      <w:r>
        <w:rPr>
          <w:rFonts w:ascii="Times New Roman;Times;Serif" w:hAnsi="Times New Roman;Times;Serif"/>
          <w:b w:val="false"/>
          <w:i w:val="false"/>
          <w:caps w:val="false"/>
          <w:smallCaps w:val="false"/>
          <w:sz w:val="20"/>
          <w:u w:val="single"/>
        </w:rPr>
        <w:t>Private Warrants</w:t>
      </w:r>
      <w:r>
        <w:rPr>
          <w:rFonts w:ascii="Times New Roman;Times;Serif" w:hAnsi="Times New Roman;Times;Serif"/>
          <w:b w:val="false"/>
          <w:i w:val="false"/>
          <w:caps w:val="false"/>
          <w:smallCaps w:val="false"/>
          <w:sz w:val="20"/>
        </w:rPr>
        <w:t>” and together with the Public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in conjunction with the Prospectus. This prospectus supplement is qualified by reference to the Prospectus except to the extent that the information in this prospectus supplement supersedes the information contained in the Prospectus. This prospectus supplement is not complete without, and may not be delivered or utilized except in connection with, the Prospectus.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“BRR” and our Warrants are listed on the Nasdaq Capital Market under the symbol “BRRWW.” On March 3, 2026, the closing price of our Common Stock was $2.95 and the closing price for our Warrants was $0.4631.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6 of the Prospectus, and under similar headings in any amendments or supplements to the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10,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July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PROCAP FINANCIAL,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001-42995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39-2767031</w:t>
            </w:r>
          </w:p>
        </w:tc>
      </w:tr>
      <w:tr>
        <w:trPr/>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Lexington Avenue, Floor 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 938-0912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03"/>
        <w:gridCol w:w="60"/>
        <w:gridCol w:w="1261"/>
        <w:gridCol w:w="60"/>
        <w:gridCol w:w="2521"/>
      </w:tblGrid>
      <w:tr>
        <w:trPr/>
        <w:tc>
          <w:tcPr>
            <w:tcW w:w="630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30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r>
        <w:trPr/>
        <w:tc>
          <w:tcPr>
            <w:tcW w:w="630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whole warrant exercisable for one share of Common Stock at an exercise price of $11.50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BRRWW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January 26, 2026, ProCap Financial, Inc. (the “Company”) received a deficiency letter from the Listing Qualifications staff (the “Staff”) of The Nasdaq Stock Market LLC (“Nasdaq”) notifying the Company that it was not in compliance with the independent director and audit committee requirements for continued listing on the Nasdaq Global Market set forth in Nasdaq Listing Rules 5605(c)(2)(A) and 5605(b)(1), respectively (the “Rules”), as disclosed in the Company’s Current Report on Form 8-K filed with the U.S. Securities and Exchange Commission (the “SEC”) on January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the Company filed a Current Report on Form 8-K with the SEC disclosing the appointment of Benjamin Buchanan to the Company’s Board of Directors and its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the Company received a letter from the Staff advising that, based on the information regarding the appointment of Mr. Buchanan to the Company’s Board of Directors and audit committee as detailed in the Company’s Current Report on Form 8-K filed July 16, 2026, the Staff has determined that the Company complies with the Rules and that the matter is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945" w:type="dxa"/>
        <w:jc w:val="left"/>
        <w:tblInd w:w="0" w:type="dxa"/>
        <w:tblLayout w:type="fixed"/>
        <w:tblCellMar>
          <w:top w:w="0" w:type="dxa"/>
          <w:left w:w="0" w:type="dxa"/>
          <w:bottom w:w="28" w:type="dxa"/>
          <w:right w:w="0" w:type="dxa"/>
        </w:tblCellMar>
      </w:tblPr>
      <w:tblGrid>
        <w:gridCol w:w="1400"/>
        <w:gridCol w:w="60"/>
        <w:gridCol w:w="648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625"/>
        <w:gridCol w:w="545"/>
        <w:gridCol w:w="1955"/>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1146</Words>
  <Characters>6270</Characters>
  <CharactersWithSpaces>7416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