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9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SILVIA,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0_edei--EntityIncorporationStateCo"/>
            <w:bookmarkEnd w:id="5"/>
            <w:r>
              <w:rPr>
                <w:rFonts w:ascii="Times New Roman;Times;Serif" w:hAnsi="Times New Roman;Times;Serif"/>
                <w:b w:val="false"/>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D_edei--EntityFileNumber_c20260922"/>
            <w:bookmarkEnd w:id="6"/>
            <w:r>
              <w:rPr>
                <w:rFonts w:ascii="Times New Roman;Times;Serif" w:hAnsi="Times New Roman;Times;Serif"/>
                <w:b w:val="false"/>
                <w:i w:val="false"/>
                <w:caps w:val="false"/>
                <w:smallCaps w:val="false"/>
                <w:sz w:val="20"/>
              </w:rPr>
              <w:t>001-42995</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6_edei--EntityTaxIdentificationNum"/>
            <w:bookmarkEnd w:id="7"/>
            <w:r>
              <w:rPr>
                <w:rFonts w:ascii="Times New Roman;Times;Serif" w:hAnsi="Times New Roman;Times;Serif"/>
                <w:b w:val="false"/>
                <w:i w:val="false"/>
                <w:caps w:val="false"/>
                <w:smallCaps w:val="false"/>
                <w:sz w:val="20"/>
              </w:rPr>
              <w:t>39-2767031</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val="false"/>
          <w:i w:val="false"/>
          <w:caps w:val="false"/>
          <w:smallCaps w:val="false"/>
          <w:sz w:val="20"/>
        </w:rPr>
        <w:t xml:space="preserve">600 Lexington Avenue, </w:t>
      </w:r>
      <w:bookmarkStart w:id="9" w:name="xdx_907_edei--EntityAddressAddressLine2_"/>
      <w:bookmarkEnd w:id="9"/>
      <w:r>
        <w:rPr>
          <w:rFonts w:ascii="Times New Roman;Times;Serif" w:hAnsi="Times New Roman;Times;Serif"/>
          <w:b w:val="false"/>
          <w:i w:val="false"/>
          <w:caps w:val="false"/>
          <w:smallCaps w:val="false"/>
          <w:sz w:val="20"/>
        </w:rPr>
        <w:t>Floor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B_edei--EntityAddressCityOrTown_c2"/>
      <w:bookmarkEnd w:id="10"/>
      <w:r>
        <w:rPr>
          <w:rFonts w:ascii="Times New Roman;Times;Serif" w:hAnsi="Times New Roman;Times;Serif"/>
          <w:b w:val="false"/>
          <w:i w:val="false"/>
          <w:caps w:val="false"/>
          <w:smallCaps w:val="false"/>
          <w:sz w:val="20"/>
        </w:rPr>
        <w:t xml:space="preserve">New York, </w:t>
      </w:r>
      <w:bookmarkStart w:id="11" w:name="xdx_906_edei--EntityAddressStateOrProvin"/>
      <w:bookmarkEnd w:id="11"/>
      <w:r>
        <w:rPr>
          <w:rFonts w:ascii="Times New Roman;Times;Serif" w:hAnsi="Times New Roman;Times;Serif"/>
          <w:b w:val="false"/>
          <w:i w:val="false"/>
          <w:caps w:val="false"/>
          <w:smallCaps w:val="false"/>
          <w:sz w:val="20"/>
        </w:rPr>
        <w:t xml:space="preserve">New York </w:t>
      </w:r>
      <w:bookmarkStart w:id="12" w:name="xdx_90F_edei--EntityAddressPostalZipCode"/>
      <w:bookmarkEnd w:id="12"/>
      <w:r>
        <w:rPr>
          <w:rFonts w:ascii="Times New Roman;Times;Serif" w:hAnsi="Times New Roman;Times;Serif"/>
          <w:b w:val="false"/>
          <w:i w:val="false"/>
          <w:caps w:val="false"/>
          <w:smallCaps w:val="false"/>
          <w:sz w:val="20"/>
        </w:rPr>
        <w:t>10022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C_edei--CityAreaCode_c20260922__20"/>
      <w:bookmarkEnd w:id="13"/>
      <w:r>
        <w:rPr>
          <w:rFonts w:ascii="Times New Roman;Times;Serif" w:hAnsi="Times New Roman;Times;Serif"/>
          <w:b w:val="false"/>
          <w:i w:val="false"/>
          <w:caps w:val="false"/>
          <w:smallCaps w:val="false"/>
          <w:sz w:val="20"/>
        </w:rPr>
        <w:t xml:space="preserve">(305) </w:t>
      </w:r>
      <w:bookmarkStart w:id="14" w:name="xdx_900_edei--LocalPhoneNumber_c20260922"/>
      <w:bookmarkEnd w:id="14"/>
      <w:r>
        <w:rPr>
          <w:rFonts w:ascii="Times New Roman;Times;Serif" w:hAnsi="Times New Roman;Times;Serif"/>
          <w:b w:val="false"/>
          <w:i w:val="false"/>
          <w:caps w:val="false"/>
          <w:smallCaps w:val="false"/>
          <w:sz w:val="20"/>
        </w:rPr>
        <w:t>938-0912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C_edei--SolicitingMaterial_c202609"/>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21"/>
        <w:gridCol w:w="60"/>
        <w:gridCol w:w="1238"/>
        <w:gridCol w:w="60"/>
        <w:gridCol w:w="2526"/>
      </w:tblGrid>
      <w:tr>
        <w:trPr/>
        <w:tc>
          <w:tcPr>
            <w:tcW w:w="63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3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52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 w:name="xdx_90F_edei--Security12bTitle_c20260922"/>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123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922__2"/>
            <w:bookmarkEnd w:id="20"/>
            <w:r>
              <w:rPr>
                <w:rFonts w:ascii="Times New Roman;Times;Serif" w:hAnsi="Times New Roman;Times;Serif"/>
                <w:b w:val="false"/>
                <w:i w:val="false"/>
                <w:caps w:val="false"/>
                <w:smallCaps w:val="false"/>
                <w:sz w:val="20"/>
              </w:rPr>
              <w:t>SVIA</w:t>
            </w:r>
          </w:p>
        </w:tc>
        <w:tc>
          <w:tcPr>
            <w:tcW w:w="60" w:type="dxa"/>
            <w:tcBorders/>
            <w:tcMar>
              <w:bottom w:w="0" w:type="dxa"/>
            </w:tcMar>
            <w:vAlign w:val="center"/>
          </w:tcPr>
          <w:p>
            <w:pPr>
              <w:pStyle w:val="TableContents"/>
              <w:bidi w:val="0"/>
              <w:spacing w:before="0" w:after="283"/>
              <w:jc w:val="center"/>
              <w:rPr/>
            </w:pPr>
            <w:r>
              <w:rPr/>
              <w:t> </w:t>
            </w:r>
          </w:p>
        </w:tc>
        <w:tc>
          <w:tcPr>
            <w:tcW w:w="25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1" w:name="xdx_90A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3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E_edei--Security12bTitle_c20260922"/>
            <w:bookmarkEnd w:id="22"/>
            <w:r>
              <w:rPr>
                <w:rFonts w:ascii="Times New Roman;Times;Serif" w:hAnsi="Times New Roman;Times;Serif"/>
                <w:b w:val="false"/>
                <w:i w:val="false"/>
                <w:caps w:val="false"/>
                <w:smallCaps w:val="false"/>
                <w:sz w:val="20"/>
              </w:rPr>
              <w:t>Redeemable 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pPr>
            <w:r>
              <w:rPr/>
              <w:t> </w:t>
            </w:r>
          </w:p>
        </w:tc>
        <w:tc>
          <w:tcPr>
            <w:tcW w:w="123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8_edei--TradingSymbol_c20260922__2"/>
            <w:bookmarkEnd w:id="23"/>
            <w:r>
              <w:rPr>
                <w:rFonts w:ascii="Times New Roman;Times;Serif" w:hAnsi="Times New Roman;Times;Serif"/>
                <w:b w:val="false"/>
                <w:i w:val="false"/>
                <w:caps w:val="false"/>
                <w:smallCaps w:val="false"/>
                <w:sz w:val="20"/>
              </w:rPr>
              <w:t>SVIAW</w:t>
            </w:r>
          </w:p>
        </w:tc>
        <w:tc>
          <w:tcPr>
            <w:tcW w:w="60" w:type="dxa"/>
            <w:tcBorders/>
            <w:tcMar>
              <w:bottom w:w="0" w:type="dxa"/>
            </w:tcMar>
            <w:vAlign w:val="center"/>
          </w:tcPr>
          <w:p>
            <w:pPr>
              <w:pStyle w:val="TableContents"/>
              <w:bidi w:val="0"/>
              <w:spacing w:before="0" w:after="283"/>
              <w:jc w:val="center"/>
              <w:rPr/>
            </w:pPr>
            <w:r>
              <w:rPr/>
              <w:t> </w:t>
            </w:r>
          </w:p>
        </w:tc>
        <w:tc>
          <w:tcPr>
            <w:tcW w:w="252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4" w:name="xdx_907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6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ProCap Financial,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filed a Certificate of Amendment (the “</w:t>
      </w:r>
      <w:r>
        <w:rPr>
          <w:rFonts w:ascii="Times New Roman;Times;Serif" w:hAnsi="Times New Roman;Times;Serif"/>
          <w:b/>
          <w:i/>
          <w:caps w:val="false"/>
          <w:smallCaps w:val="false"/>
          <w:sz w:val="20"/>
        </w:rPr>
        <w:t>Certificate of Amendment</w:t>
      </w:r>
      <w:r>
        <w:rPr>
          <w:rFonts w:ascii="Times New Roman;Times;Serif" w:hAnsi="Times New Roman;Times;Serif"/>
          <w:b w:val="false"/>
          <w:i w:val="false"/>
          <w:caps w:val="false"/>
          <w:smallCaps w:val="false"/>
          <w:sz w:val="20"/>
        </w:rPr>
        <w:t>”) to its Amended and Restated Certificate of Incorporation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with the Secretary of State of the State of Delaware to change the Company’s corporate name from “ProCap Financial, Inc.” to “Silvia, Inc.” (the “</w:t>
      </w:r>
      <w:r>
        <w:rPr>
          <w:rFonts w:ascii="Times New Roman;Times;Serif" w:hAnsi="Times New Roman;Times;Serif"/>
          <w:b/>
          <w:i/>
          <w:caps w:val="false"/>
          <w:smallCaps w:val="false"/>
          <w:sz w:val="20"/>
        </w:rPr>
        <w:t>Name Change</w:t>
      </w:r>
      <w:r>
        <w:rPr>
          <w:rFonts w:ascii="Times New Roman;Times;Serif" w:hAnsi="Times New Roman;Times;Serif"/>
          <w:b w:val="false"/>
          <w:i w:val="false"/>
          <w:caps w:val="false"/>
          <w:smallCaps w:val="false"/>
          <w:sz w:val="20"/>
        </w:rPr>
        <w:t>”). The Certificate of Amendment became effective on September 22, 2026. The Name Change and Certificate of Amendment were approved by the Company’s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on September 2, 2026. Pursuant to Section 242(d)(1) of the Delaware General Corporation Law, approval of the Company’s stockholders was not required to effect the Name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change to the Company’s name, the Certificate of Amendment did not amend any other provision of the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Name Change, the Board approved the Second Amended and Restated Bylaws of the Company (the “</w:t>
      </w:r>
      <w:r>
        <w:rPr>
          <w:rFonts w:ascii="Times New Roman;Times;Serif" w:hAnsi="Times New Roman;Times;Serif"/>
          <w:b/>
          <w:i/>
          <w:caps w:val="false"/>
          <w:smallCaps w:val="false"/>
          <w:sz w:val="20"/>
        </w:rPr>
        <w:t>Second Amended and Restated Bylaws</w:t>
      </w:r>
      <w:r>
        <w:rPr>
          <w:rFonts w:ascii="Times New Roman;Times;Serif" w:hAnsi="Times New Roman;Times;Serif"/>
          <w:b w:val="false"/>
          <w:i w:val="false"/>
          <w:caps w:val="false"/>
          <w:smallCaps w:val="false"/>
          <w:sz w:val="20"/>
        </w:rPr>
        <w:t>”), effective September 22, 2026, solely to reflect the Company’s new name. The Second Amended and Restated Bylaws made no other changes to the Company’s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Change does not affect the rights of the Company’s stockholders or warrant holders. The Company’s common stock and warrants trading on The Nasdaq Global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under the symbols “BRR” and “BRRW”, respectively, began trading on Nasdaq under the symbols “SVIA” and “SVIAW”, respectively, effective as of September 22, 2026. Stockholders and warrant holders are not required to take any action; outstanding stock and warrant certificates are not affected by the Name Change and do not need to be exchanged.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does not purport to be complete and is qualified in its entirety by reference to the full text of the Certificate of Amendment and the Second Amended and Restated Bylaws, copies of which are filed as Exhibits 3.2 and 3.4, respectively, to this Current Report on Form 8-K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Company issued a press release announcing the Name Change.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7.01, including Exhibit 99.1,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16"/>
        <w:gridCol w:w="60"/>
        <w:gridCol w:w="9029"/>
      </w:tblGrid>
      <w:tr>
        <w:trPr/>
        <w:tc>
          <w:tcPr>
            <w:tcW w:w="111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02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11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029" w:type="dxa"/>
            <w:tcBorders/>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Amended and Restated Certificate of Incorporation of the Company.</w:t>
              </w:r>
            </w:hyperlink>
          </w:p>
        </w:tc>
      </w:tr>
      <w:tr>
        <w:trPr/>
        <w:tc>
          <w:tcPr>
            <w:tcW w:w="11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029" w:type="dxa"/>
            <w:tcBorders/>
            <w:tcMar>
              <w:bottom w:w="0" w:type="dxa"/>
            </w:tcMar>
            <w:vAlign w:val="center"/>
          </w:tcPr>
          <w:p>
            <w:pPr>
              <w:pStyle w:val="TableContents"/>
              <w:bidi w:val="0"/>
              <w:spacing w:before="0" w:after="283"/>
              <w:jc w:val="both"/>
              <w:rPr/>
            </w:pPr>
            <w:hyperlink w:anchor="ex3-2.htm">
              <w:r>
                <w:rPr>
                  <w:rStyle w:val="InternetLink"/>
                  <w:rFonts w:ascii="Times New Roman;Times;Serif" w:hAnsi="Times New Roman;Times;Serif"/>
                  <w:b w:val="false"/>
                  <w:i w:val="false"/>
                  <w:caps w:val="false"/>
                  <w:smallCaps w:val="false"/>
                  <w:sz w:val="20"/>
                </w:rPr>
                <w:t>Certificate of Amendment to the Amended and Restated Certificate of Incorporation of the Company, filed with the Secretary of State of the State of Delaware on September 17, 2026.</w:t>
              </w:r>
            </w:hyperlink>
          </w:p>
        </w:tc>
      </w:tr>
      <w:tr>
        <w:trPr/>
        <w:tc>
          <w:tcPr>
            <w:tcW w:w="11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029"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December 11, 2025).</w:t>
              </w:r>
            </w:hyperlink>
          </w:p>
        </w:tc>
      </w:tr>
      <w:tr>
        <w:trPr/>
        <w:tc>
          <w:tcPr>
            <w:tcW w:w="11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pPr>
            <w:r>
              <w:rPr/>
              <w:t> </w:t>
            </w:r>
          </w:p>
        </w:tc>
        <w:tc>
          <w:tcPr>
            <w:tcW w:w="9029" w:type="dxa"/>
            <w:tcBorders/>
            <w:tcMar>
              <w:bottom w:w="0" w:type="dxa"/>
            </w:tcMar>
            <w:vAlign w:val="center"/>
          </w:tcPr>
          <w:p>
            <w:pPr>
              <w:pStyle w:val="TableContents"/>
              <w:bidi w:val="0"/>
              <w:spacing w:before="0" w:after="283"/>
              <w:jc w:val="both"/>
              <w:rPr/>
            </w:pPr>
            <w:hyperlink w:anchor="ex3-4.htm">
              <w:r>
                <w:rPr>
                  <w:rStyle w:val="InternetLink"/>
                  <w:rFonts w:ascii="Times New Roman;Times;Serif" w:hAnsi="Times New Roman;Times;Serif"/>
                  <w:b w:val="false"/>
                  <w:i w:val="false"/>
                  <w:caps w:val="false"/>
                  <w:smallCaps w:val="false"/>
                  <w:sz w:val="20"/>
                </w:rPr>
                <w:t>Second Amended and Restated Bylaws of the Company, effective September 22, 2026.</w:t>
              </w:r>
            </w:hyperlink>
          </w:p>
        </w:tc>
      </w:tr>
      <w:tr>
        <w:trPr/>
        <w:tc>
          <w:tcPr>
            <w:tcW w:w="11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029"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September 22, 2026.</w:t>
              </w:r>
            </w:hyperlink>
          </w:p>
        </w:tc>
      </w:tr>
      <w:tr>
        <w:trPr/>
        <w:tc>
          <w:tcPr>
            <w:tcW w:w="11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02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135"/>
        <w:gridCol w:w="545"/>
        <w:gridCol w:w="195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SILVIA,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22,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7" w:name="ex3-1.htm"/>
      <w:bookmarkStart w:id="28" w:name="ksex31"/>
      <w:bookmarkEnd w:id="27"/>
      <w:bookmarkEnd w:id="28"/>
      <w:r>
        <w:rPr/>
        <w:t> </w:t>
      </w:r>
      <w:r>
        <w:br w:type="page"/>
      </w:r>
    </w:p>
    <w:p>
      <w:pPr>
        <w:pStyle w:val="TextBody"/>
        <w:bidi w:val="0"/>
        <w:jc w:val="right"/>
        <w:rPr>
          <w:b/>
        </w:rPr>
      </w:pPr>
      <w:r>
        <w:rPr>
          <w:b/>
        </w:rPr>
        <w:t>Exhibit 3.1</w:t>
      </w:r>
    </w:p>
    <w:p>
      <w:pPr>
        <w:pStyle w:val="TextBody"/>
        <w:bidi w:val="0"/>
        <w:jc w:val="center"/>
        <w:rPr/>
      </w:pPr>
      <w:r>
        <w:rPr/>
        <w:t> </w:t>
      </w:r>
    </w:p>
    <w:p>
      <w:pPr>
        <w:pStyle w:val="TextBody"/>
        <w:bidi w:val="0"/>
        <w:jc w:val="center"/>
        <w:rPr/>
      </w:pPr>
      <w:r>
        <w:rPr/>
        <w:drawing>
          <wp:inline distT="0" distB="0" distL="0" distR="0">
            <wp:extent cx="8572500" cy="10934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8572500" cy="109347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8572500" cy="1109662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8572500" cy="1109662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8572500" cy="1109662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8572500" cy="11096625"/>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8572500" cy="1109662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left"/>
        <w:rPr/>
      </w:pPr>
      <w:bookmarkStart w:id="29" w:name="ex3-2.htm"/>
      <w:bookmarkStart w:id="30" w:name="ksex32"/>
      <w:bookmarkEnd w:id="29"/>
      <w:bookmarkEnd w:id="30"/>
      <w:r>
        <w:rPr/>
        <w:t> </w:t>
      </w:r>
      <w:r>
        <w:br w:type="page"/>
      </w:r>
    </w:p>
    <w:p>
      <w:pPr>
        <w:pStyle w:val="TextBody"/>
        <w:bidi w:val="0"/>
        <w:jc w:val="right"/>
        <w:rPr>
          <w:b/>
        </w:rPr>
      </w:pPr>
      <w:r>
        <w:rPr>
          <w:b/>
        </w:rPr>
        <w:t>Exhibit 3.2</w:t>
      </w:r>
    </w:p>
    <w:p>
      <w:pPr>
        <w:pStyle w:val="TextBody"/>
        <w:bidi w:val="0"/>
        <w:spacing w:before="0" w:after="283"/>
        <w:jc w:val="left"/>
        <w:rPr/>
      </w:pPr>
      <w:r>
        <w:rPr/>
        <w:t> </w:t>
      </w:r>
    </w:p>
    <w:p>
      <w:pPr>
        <w:pStyle w:val="TextBody"/>
        <w:bidi w:val="0"/>
        <w:jc w:val="center"/>
        <w:rPr/>
      </w:pPr>
      <w:r>
        <w:rPr/>
        <w:drawing>
          <wp:inline distT="0" distB="0" distL="0" distR="0">
            <wp:extent cx="8229600" cy="106343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8229600" cy="1063434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8572500" cy="11096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8572500" cy="1109662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bookmarkStart w:id="31" w:name="ex3-4.htm"/>
      <w:bookmarkStart w:id="32" w:name="ksex34"/>
      <w:bookmarkEnd w:id="31"/>
      <w:bookmarkEnd w:id="3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3.4</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4"/>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5"/>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6"/>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7"/>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8"/>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9"/>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0"/>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1"/>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2"/>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3"/>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4"/>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5"/>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6"/>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7"/>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8"/>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9"/>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0"/>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1"/>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2"/>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3"/>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4"/>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5"/>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6"/>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7"/>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8"/>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9"/>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bookmarkStart w:id="33" w:name="ex99-1.htm"/>
      <w:bookmarkStart w:id="34" w:name="ksex991"/>
      <w:bookmarkEnd w:id="33"/>
      <w:bookmarkEnd w:id="34"/>
      <w:r>
        <w:rPr/>
        <w:t> </w:t>
      </w:r>
      <w:r>
        <w:br w:type="page"/>
      </w:r>
    </w:p>
    <w:p>
      <w:pPr>
        <w:pStyle w:val="TextBody"/>
        <w:bidi w:val="0"/>
        <w:jc w:val="right"/>
        <w:rPr>
          <w:b/>
        </w:rPr>
      </w:pPr>
      <w:r>
        <w:rPr>
          <w:b/>
        </w:rPr>
        <w:t>Exhibit 99.1</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0"/>
                    <a:stretch>
                      <a:fillRect/>
                    </a:stretch>
                  </pic:blipFill>
                  <pic:spPr bwMode="auto">
                    <a:xfrm>
                      <a:off x="0" y="0"/>
                      <a:ext cx="8572500" cy="1109662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76163/000121390025120791/ea026875701ex3-2_procap.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950</Words>
  <Characters>5103</Characters>
  <CharactersWithSpaces>6195</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