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7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ProCap Financial,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715"/>
            <w:bookmarkEnd w:id="6"/>
            <w:r>
              <w:rPr>
                <w:rFonts w:ascii="Times New Roman;Times;Serif" w:hAnsi="Times New Roman;Times;Serif"/>
                <w:b/>
                <w:i w:val="false"/>
                <w:caps w:val="false"/>
                <w:smallCaps w:val="false"/>
                <w:sz w:val="20"/>
              </w:rPr>
              <w:t>001-42995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39-2767031</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val="false"/>
          <w:i w:val="false"/>
          <w:caps w:val="false"/>
          <w:smallCaps w:val="false"/>
          <w:sz w:val="20"/>
        </w:rPr>
        <w:t xml:space="preserve">600 Lexington Avenue, </w:t>
      </w:r>
      <w:bookmarkStart w:id="9" w:name="xdx_907_edei--EntityAddressAddressLine2_"/>
      <w:bookmarkEnd w:id="9"/>
      <w:r>
        <w:rPr>
          <w:rFonts w:ascii="Times New Roman;Times;Serif" w:hAnsi="Times New Roman;Times;Serif"/>
          <w:b w:val="false"/>
          <w:i w:val="false"/>
          <w:caps w:val="false"/>
          <w:smallCaps w:val="false"/>
          <w:sz w:val="20"/>
        </w:rPr>
        <w:t xml:space="preserve">Floor 2, </w:t>
      </w:r>
      <w:bookmarkStart w:id="10" w:name="xdx_90E_edei--EntityAddressCityOrTown_c2"/>
      <w:bookmarkEnd w:id="10"/>
      <w:r>
        <w:rPr>
          <w:rFonts w:ascii="Times New Roman;Times;Serif" w:hAnsi="Times New Roman;Times;Serif"/>
          <w:b w:val="false"/>
          <w:i w:val="false"/>
          <w:caps w:val="false"/>
          <w:smallCaps w:val="false"/>
          <w:sz w:val="20"/>
        </w:rPr>
        <w:t xml:space="preserve">New York, </w:t>
      </w:r>
      <w:bookmarkStart w:id="11" w:name="xdx_900_edei--EntityAddressStateOrProvin"/>
      <w:bookmarkEnd w:id="11"/>
      <w:r>
        <w:rPr>
          <w:rFonts w:ascii="Times New Roman;Times;Serif" w:hAnsi="Times New Roman;Times;Serif"/>
          <w:b w:val="false"/>
          <w:i w:val="false"/>
          <w:caps w:val="false"/>
          <w:smallCaps w:val="false"/>
          <w:sz w:val="20"/>
        </w:rPr>
        <w:t xml:space="preserve">NY </w:t>
      </w:r>
      <w:bookmarkStart w:id="12" w:name="xdx_909_edei--EntityAddressPostalZipCode"/>
      <w:bookmarkEnd w:id="12"/>
      <w:r>
        <w:rPr>
          <w:rFonts w:ascii="Times New Roman;Times;Serif" w:hAnsi="Times New Roman;Times;Serif"/>
          <w:b w:val="false"/>
          <w:i w:val="false"/>
          <w:caps w:val="false"/>
          <w:smallCaps w:val="false"/>
          <w:sz w:val="20"/>
        </w:rPr>
        <w:t>10022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4_edei--CityAreaCode_c20260715__20"/>
      <w:bookmarkEnd w:id="13"/>
      <w:r>
        <w:rPr>
          <w:rFonts w:ascii="Times New Roman;Times;Serif" w:hAnsi="Times New Roman;Times;Serif"/>
          <w:b w:val="false"/>
          <w:i w:val="false"/>
          <w:caps w:val="false"/>
          <w:smallCaps w:val="false"/>
          <w:sz w:val="20"/>
        </w:rPr>
        <w:t xml:space="preserve">(305) </w:t>
      </w:r>
      <w:bookmarkStart w:id="14" w:name="xdx_900_edei--LocalPhoneNumber_c20260715"/>
      <w:bookmarkEnd w:id="14"/>
      <w:r>
        <w:rPr>
          <w:rFonts w:ascii="Times New Roman;Times;Serif" w:hAnsi="Times New Roman;Times;Serif"/>
          <w:b w:val="false"/>
          <w:i w:val="false"/>
          <w:caps w:val="false"/>
          <w:smallCaps w:val="false"/>
          <w:sz w:val="20"/>
        </w:rPr>
        <w:t>938-0912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E_edei--WrittenCommunications_c202"/>
            <w:bookmarkEnd w:id="15"/>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3_edei--SolicitingMaterial_c202607"/>
            <w:bookmarkEnd w:id="16"/>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5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03"/>
        <w:gridCol w:w="60"/>
        <w:gridCol w:w="1261"/>
        <w:gridCol w:w="60"/>
        <w:gridCol w:w="2521"/>
      </w:tblGrid>
      <w:tr>
        <w:trPr/>
        <w:tc>
          <w:tcPr>
            <w:tcW w:w="63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0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715"/>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715__2"/>
            <w:bookmarkEnd w:id="20"/>
            <w:r>
              <w:rPr>
                <w:rFonts w:ascii="Times New Roman;Times;Serif" w:hAnsi="Times New Roman;Times;Serif"/>
                <w:b w:val="false"/>
                <w:i w:val="false"/>
                <w:caps w:val="false"/>
                <w:smallCaps w:val="false"/>
                <w:sz w:val="20"/>
              </w:rPr>
              <w:t>BRR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30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0715"/>
            <w:bookmarkEnd w:id="22"/>
            <w:r>
              <w:rPr>
                <w:rFonts w:ascii="Times New Roman;Times;Serif" w:hAnsi="Times New Roman;Times;Serif"/>
                <w:b w:val="false"/>
                <w:i w:val="false"/>
                <w:caps w:val="false"/>
                <w:smallCaps w:val="false"/>
                <w:sz w:val="20"/>
              </w:rPr>
              <w:t>Redeemable 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TradingSymbol_c20260715__2"/>
            <w:bookmarkEnd w:id="23"/>
            <w:r>
              <w:rPr>
                <w:rFonts w:ascii="Times New Roman;Times;Serif" w:hAnsi="Times New Roman;Times;Serif"/>
                <w:b w:val="false"/>
                <w:i w:val="false"/>
                <w:caps w:val="false"/>
                <w:smallCaps w:val="false"/>
                <w:sz w:val="20"/>
              </w:rPr>
              <w:t>BRRWW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1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D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“Effective Date”), the Board of Directors (the “Board”) of ProCap Financial, Inc. (the “Company”) elected Benjamin Buchanan (“Buchanan”) as an independent director of the Company, effective as of the Effective Date. He is 40 years old.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2025, Mr. Buchanan has served as the Chief Executive Officer of All Current, a provider of electrical solutions. From September 2019 to July 2022, Mr. Buchanan served as Chief Financial Officer for LindFast Solutions Group, the leading master distributor of fasteners in North America. Mr. Buchanan then served as Executive Vice President and Chief Operating Officer of LindFast Solutions Group from July 2022 to October 2024. Prior to his time at LindFast Solutions Group, Mr. Buchanan served as the Chief Financial Officer of US Greenfiber, a cellulose insulation manufacturer, from July 2018 to August 2019. Additionally, Mr. Buchanan has served on the board of directors of Argus Monitoring Solutions since February 2022. Mr. Buchanan earned a degree in Economics from Samford University and an MBA from the University of Kentucky. We believe Mr. Buchanan is well qualified to serve as a member of our board of directors due to his extensive strategic, operational and broad business experience.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Buchanan satisfies the independence standards set forth in Nasdaq Listing Rule 5605(a)(2) and Rule 10A-3 under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Buchanan has been appointed to serve on the following committees of the Board: the Audit Committee, Compensation Committee, and Nomination and Governance Committee. Buchanan’s appointment to the Audit Committee restores the Audit Committee to three members and brings the Company into compliance with the requirements of Nasdaq Listing Rule 5605(c)(2)(A). Buchanan’s appointment also restores a majority of independent directors on the Board, bringing the Company into compliance with the requirements of Nasdaq Listing Rule 5605(b).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Buchanan and any other persons pursuant to which Buchanan was selected as a director. There are no family relationships between Buchanan and any director or executive officer of the Company. There are no transactions in which Buchanan has an interest requiring disclosure under Item 404(a) of Regulation S-K (17 CFR 229.404(a)).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Buchanan will participate in the Company’s standard non-employee director compensation program, the terms of which were previously disclosed in the Company’s most recent proxy statement filed with the SEC on March 2, 2026. Mr. Buchanon’s compensation will be prorated to reflect the commencement date of his Board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283"/>
        <w:jc w:val="left"/>
        <w:rPr/>
      </w:pPr>
      <w:r>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470"/>
        <w:gridCol w:w="1130"/>
        <w:gridCol w:w="545"/>
        <w:gridCol w:w="1595"/>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Kyle Wood</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Kyle Wood</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838</Words>
  <Characters>4635</Characters>
  <CharactersWithSpaces>5478</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