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333-292590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Silvia,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13,900,000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7,659,237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 Issuable Upon Conversion of the Convertible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12,852,478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 Issuable Upon Exercise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34,411,715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consists of (i) the resale of up to 13,900,000 shares of our Common Stock by certain of the selling securityholders named in this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(ii) the resale of up to 7,659,237 shares of Common Stock issuable upon conversion of the Convertible Notes (as defined below) by certain of the Selling Securityholders, and (iii) the issuance by the Company of up to 12,852,478 shares of Common Stock that are issuable upon the exercise of 12,852,478 warrants, including 12,499,978 public warrants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consummated the transactions contemplated by that certain business combination agreement, dated as of June 23, 2025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with Columbus Circle Capital Corp I, a Cayman Islands exempted company (“</w:t>
      </w:r>
      <w:r>
        <w:rPr>
          <w:rFonts w:ascii="Times New Roman;Times;Serif" w:hAnsi="Times New Roman;Times;Serif"/>
          <w:b w:val="false"/>
          <w:i w:val="false"/>
          <w:caps w:val="false"/>
          <w:smallCaps w:val="false"/>
          <w:sz w:val="20"/>
          <w:u w:val="single"/>
        </w:rPr>
        <w:t>CCCM</w:t>
      </w:r>
      <w:r>
        <w:rPr>
          <w:rFonts w:ascii="Times New Roman;Times;Serif" w:hAnsi="Times New Roman;Times;Serif"/>
          <w:b w:val="false"/>
          <w:i w:val="false"/>
          <w:caps w:val="false"/>
          <w:smallCaps w:val="false"/>
          <w:sz w:val="20"/>
        </w:rPr>
        <w:t>”), Crius SPAC Merger Sub, Inc., a Delaware corporation and a wholly owned subsidiary of the Company (“</w:t>
      </w:r>
      <w:r>
        <w:rPr>
          <w:rFonts w:ascii="Times New Roman;Times;Serif" w:hAnsi="Times New Roman;Times;Serif"/>
          <w:b w:val="false"/>
          <w:i w:val="false"/>
          <w:caps w:val="false"/>
          <w:smallCaps w:val="false"/>
          <w:sz w:val="20"/>
          <w:u w:val="single"/>
        </w:rPr>
        <w:t>SPAC Merger Sub</w:t>
      </w:r>
      <w:r>
        <w:rPr>
          <w:rFonts w:ascii="Times New Roman;Times;Serif" w:hAnsi="Times New Roman;Times;Serif"/>
          <w:b w:val="false"/>
          <w:i w:val="false"/>
          <w:caps w:val="false"/>
          <w:smallCaps w:val="false"/>
          <w:sz w:val="20"/>
        </w:rPr>
        <w:t>”), Crius Merger Sub, LLC, a Delaware limited liability company and a wholly owned subsidiary of the Company (“</w:t>
      </w:r>
      <w:r>
        <w:rPr>
          <w:rFonts w:ascii="Times New Roman;Times;Serif" w:hAnsi="Times New Roman;Times;Serif"/>
          <w:b w:val="false"/>
          <w:i w:val="false"/>
          <w:caps w:val="false"/>
          <w:smallCaps w:val="false"/>
          <w:sz w:val="20"/>
          <w:u w:val="single"/>
        </w:rPr>
        <w:t>Company Merger Sub</w:t>
      </w:r>
      <w:r>
        <w:rPr>
          <w:rFonts w:ascii="Times New Roman;Times;Serif" w:hAnsi="Times New Roman;Times;Serif"/>
          <w:b w:val="false"/>
          <w:i w:val="false"/>
          <w:caps w:val="false"/>
          <w:smallCaps w:val="false"/>
          <w:sz w:val="20"/>
        </w:rPr>
        <w:t>”), ProCap BTC, LLC, a Delaware limited liability company (“</w:t>
      </w:r>
      <w:r>
        <w:rPr>
          <w:rFonts w:ascii="Times New Roman;Times;Serif" w:hAnsi="Times New Roman;Times;Serif"/>
          <w:b w:val="false"/>
          <w:i w:val="false"/>
          <w:caps w:val="false"/>
          <w:smallCaps w:val="false"/>
          <w:sz w:val="20"/>
          <w:u w:val="single"/>
        </w:rPr>
        <w:t>Legacy ProCap</w:t>
      </w:r>
      <w:r>
        <w:rPr>
          <w:rFonts w:ascii="Times New Roman;Times;Serif" w:hAnsi="Times New Roman;Times;Serif"/>
          <w:b w:val="false"/>
          <w:i w:val="false"/>
          <w:caps w:val="false"/>
          <w:smallCaps w:val="false"/>
          <w:sz w:val="20"/>
        </w:rPr>
        <w:t>”), and Inflection Points Inc d/b/a Professional Capital Management,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As contemplated by the Business Combination Agreement, (i) SPAC Merger Sub merged with and into CCCM, with CCCM continuing as the surviving entity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and (ii) Company Merger Sub merged with and into Legacy ProCap, with Legacy ProCap continuing as the surviving company (the “</w:t>
      </w:r>
      <w:r>
        <w:rPr>
          <w:rFonts w:ascii="Times New Roman;Times;Serif" w:hAnsi="Times New Roman;Times;Serif"/>
          <w:b w:val="false"/>
          <w:i w:val="false"/>
          <w:caps w:val="false"/>
          <w:smallCaps w:val="false"/>
          <w:sz w:val="20"/>
          <w:u w:val="single"/>
        </w:rPr>
        <w:t>Company Merger,</w:t>
      </w:r>
      <w:r>
        <w:rPr>
          <w:rFonts w:ascii="Times New Roman;Times;Serif" w:hAnsi="Times New Roman;Times;Serif"/>
          <w:b w:val="false"/>
          <w:i w:val="false"/>
          <w:caps w:val="false"/>
          <w:smallCaps w:val="false"/>
          <w:sz w:val="20"/>
        </w:rPr>
        <w:t>” together with SPAC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and collectively with the other transactions contemplated by the Business Combination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As a result of the Business Combination, CCCM and Legacy ProCap became our wholly-owned subsidiaries, and we became a publicly traded company, all in accordance with applicable law and upon the terms and subject to the conditions set forth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sell, under this prospectus, up to 21,559,237 shares of Common Stock constituting approximately 27% of our issued and outstanding shares of Common Stock and approximately 35% of our issued and outstanding shares of Common Stock held by non-affiliates as of September 30, 2026. Sales of a substantial number of shares of our Common Stock in the public market by the Selling Securityholders and/or by our other existing securityholders, or the perception that those sales might occur, could depress the market price of shares of our Common Stock and could impair our ability to raise capital through the sale of additional equity securities. We are unable to predict the effect that such sales may have on the prevailing market price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shares of Common Stock as required by an amended and restated registration rights agreement, dated as of December 5, 2025, by and among us, Legacy ProCap, the sponsor and certain holders of common units of Legacy ProCap (the “</w:t>
      </w:r>
      <w:r>
        <w:rPr>
          <w:rFonts w:ascii="Times New Roman;Times;Serif" w:hAnsi="Times New Roman;Times;Serif"/>
          <w:b w:val="false"/>
          <w:i w:val="false"/>
          <w:caps w:val="false"/>
          <w:smallCaps w:val="false"/>
          <w:sz w:val="20"/>
          <w:u w:val="single"/>
        </w:rPr>
        <w:t>ProCap Holders</w:t>
      </w:r>
      <w:r>
        <w:rPr>
          <w:rFonts w:ascii="Times New Roman;Times;Serif" w:hAnsi="Times New Roman;Times;Serif"/>
          <w:b w:val="false"/>
          <w:i w:val="false"/>
          <w:caps w:val="false"/>
          <w:smallCaps w:val="false"/>
          <w:sz w:val="20"/>
        </w:rPr>
        <w:t>”), under which we assumed the obligations of CCCM under that certain registration rights agreement, dated as of May 15, 2025 (as amended, the “</w:t>
      </w:r>
      <w:r>
        <w:rPr>
          <w:rFonts w:ascii="Times New Roman;Times;Serif" w:hAnsi="Times New Roman;Times;Serif"/>
          <w:b w:val="false"/>
          <w:i w:val="false"/>
          <w:caps w:val="false"/>
          <w:smallCaps w:val="false"/>
          <w:sz w:val="20"/>
          <w:u w:val="single"/>
        </w:rPr>
        <w:t>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resale of shares of Common Stock as required by the subscription agreements, dated as of June 23, 2025, entered into by and among us, Legacy ProCap and CCCM (collectively, the “</w:t>
      </w:r>
      <w:r>
        <w:rPr>
          <w:rFonts w:ascii="Times New Roman;Times;Serif" w:hAnsi="Times New Roman;Times;Serif"/>
          <w:b w:val="false"/>
          <w:i w:val="false"/>
          <w:caps w:val="false"/>
          <w:smallCaps w:val="false"/>
          <w:sz w:val="20"/>
          <w:u w:val="single"/>
        </w:rPr>
        <w:t>Convertible Note Subscription Agreements</w:t>
      </w:r>
      <w:r>
        <w:rPr>
          <w:rFonts w:ascii="Times New Roman;Times;Serif" w:hAnsi="Times New Roman;Times;Serif"/>
          <w:b w:val="false"/>
          <w:i w:val="false"/>
          <w:caps w:val="false"/>
          <w:smallCaps w:val="false"/>
          <w:sz w:val="20"/>
        </w:rPr>
        <w:t>”), pursuant to which, upon the consummation of the Business Combination on December 5, 2025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certain qualified investors (the “</w:t>
      </w:r>
      <w:r>
        <w:rPr>
          <w:rFonts w:ascii="Times New Roman;Times;Serif" w:hAnsi="Times New Roman;Times;Serif"/>
          <w:b w:val="false"/>
          <w:i w:val="false"/>
          <w:caps w:val="false"/>
          <w:smallCaps w:val="false"/>
          <w:sz w:val="20"/>
          <w:u w:val="single"/>
        </w:rPr>
        <w:t>Convertible Note Investors</w:t>
      </w:r>
      <w:r>
        <w:rPr>
          <w:rFonts w:ascii="Times New Roman;Times;Serif" w:hAnsi="Times New Roman;Times;Serif"/>
          <w:b w:val="false"/>
          <w:i w:val="false"/>
          <w:caps w:val="false"/>
          <w:smallCaps w:val="false"/>
          <w:sz w:val="20"/>
        </w:rPr>
        <w:t>”) purchased convertible notes issued by the Company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in an aggregate principal amount of $235.0 million, for an aggregate purchase price equal to 97% of the aggregate principal amount of the Convertible Notes (the “</w:t>
      </w:r>
      <w:r>
        <w:rPr>
          <w:rFonts w:ascii="Times New Roman;Times;Serif" w:hAnsi="Times New Roman;Times;Serif"/>
          <w:b w:val="false"/>
          <w:i w:val="false"/>
          <w:caps w:val="false"/>
          <w:smallCaps w:val="false"/>
          <w:sz w:val="20"/>
          <w:u w:val="single"/>
        </w:rPr>
        <w:t>Convertible Note Financing</w:t>
      </w:r>
      <w:r>
        <w:rPr>
          <w:rFonts w:ascii="Times New Roman;Times;Serif" w:hAnsi="Times New Roman;Times;Serif"/>
          <w:b w:val="false"/>
          <w:i w:val="false"/>
          <w:caps w:val="false"/>
          <w:smallCaps w:val="false"/>
          <w:sz w:val="20"/>
        </w:rPr>
        <w:t>”). On February 9, 2026, the Company entered into privately negotiated note repurchase agreements (the “</w:t>
      </w:r>
      <w:r>
        <w:rPr>
          <w:rFonts w:ascii="Times New Roman;Times;Serif" w:hAnsi="Times New Roman;Times;Serif"/>
          <w:b w:val="false"/>
          <w:i w:val="false"/>
          <w:caps w:val="false"/>
          <w:smallCaps w:val="false"/>
          <w:sz w:val="20"/>
          <w:u w:val="single"/>
        </w:rPr>
        <w:t>Repurchase Agreements</w:t>
      </w:r>
      <w:r>
        <w:rPr>
          <w:rFonts w:ascii="Times New Roman;Times;Serif" w:hAnsi="Times New Roman;Times;Serif"/>
          <w:b w:val="false"/>
          <w:i w:val="false"/>
          <w:caps w:val="false"/>
          <w:smallCaps w:val="false"/>
          <w:sz w:val="20"/>
        </w:rPr>
        <w:t>”) with certain noteholders of its outstanding Convertible Notes (the “</w:t>
      </w:r>
      <w:r>
        <w:rPr>
          <w:rFonts w:ascii="Times New Roman;Times;Serif" w:hAnsi="Times New Roman;Times;Serif"/>
          <w:b w:val="false"/>
          <w:i w:val="false"/>
          <w:caps w:val="false"/>
          <w:smallCaps w:val="false"/>
          <w:sz w:val="20"/>
          <w:u w:val="single"/>
        </w:rPr>
        <w:t>Repurchase</w:t>
      </w:r>
      <w:r>
        <w:rPr>
          <w:rFonts w:ascii="Times New Roman;Times;Serif" w:hAnsi="Times New Roman;Times;Serif"/>
          <w:b w:val="false"/>
          <w:i w:val="false"/>
          <w:caps w:val="false"/>
          <w:smallCaps w:val="false"/>
          <w:sz w:val="20"/>
        </w:rPr>
        <w:t>”). Pursuant to the Repurchase Agreements, the Company agreed to repurchase $135,400,000 in aggregate principal amount of the Convertible Notes for an aggregate cash purchase price of $119,152,000. The outstanding principal balance of the Convertible Notes after the Repurchase was $99,600,000.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issuance of shares of Common Stock underlying the Warrants as required by that certain warrant agreement, dated as of May 15, 2025, by and between CCCM and Continental Stock Transfer &amp; Trust Company, a New York limited purpose trust company (“</w:t>
      </w:r>
      <w:r>
        <w:rPr>
          <w:rFonts w:ascii="Times New Roman;Times;Serif" w:hAnsi="Times New Roman;Times;Serif"/>
          <w:b w:val="false"/>
          <w:i w:val="false"/>
          <w:caps w:val="false"/>
          <w:smallCaps w:val="false"/>
          <w:sz w:val="20"/>
          <w:u w:val="single"/>
        </w:rPr>
        <w:t>CST</w:t>
      </w:r>
      <w:r>
        <w:rPr>
          <w:rFonts w:ascii="Times New Roman;Times;Serif" w:hAnsi="Times New Roman;Times;Serif"/>
          <w:b w:val="false"/>
          <w:i w:val="false"/>
          <w:caps w:val="false"/>
          <w:smallCaps w:val="false"/>
          <w:sz w:val="20"/>
        </w:rPr>
        <w:t>”), as warrant agent, as subsequently assigned pursuant to that certain warrant assignment, assumption and amendment agreement, dated as of December 5, 2025 (the “</w:t>
      </w:r>
      <w:r>
        <w:rPr>
          <w:rFonts w:ascii="Times New Roman;Times;Serif" w:hAnsi="Times New Roman;Times;Serif"/>
          <w:b w:val="false"/>
          <w:i w:val="false"/>
          <w:caps w:val="false"/>
          <w:smallCaps w:val="false"/>
          <w:sz w:val="20"/>
          <w:u w:val="single"/>
        </w:rPr>
        <w:t>A&amp;R Warrant Agreement</w:t>
      </w:r>
      <w:r>
        <w:rPr>
          <w:rFonts w:ascii="Times New Roman;Times;Serif" w:hAnsi="Times New Roman;Times;Serif"/>
          <w:b w:val="false"/>
          <w:i w:val="false"/>
          <w:caps w:val="false"/>
          <w:smallCaps w:val="false"/>
          <w:sz w:val="20"/>
        </w:rPr>
        <w:t>”), by and among us, CCCM, and CST.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We will receive proceeds from the exercise of the Warrants for cash, but not from the sale of the shares of Common Stock issuable upon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Common Stock or Warrants. The Selling Securityholders may offer, sell or distribute all or a portion of their shares of Common Stock or Warrants publicly or through private transactions at prevailing market prices or at negotiated prices. The Selling Securityholders will bear all commissions and discounts, if any, attributable to their sales of the shares of Common Stock. We provide more information about how the Selling Securityholders may sell the shares of Common Stock or Warrants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are subject to reduced public company reporting requirements. This prospectus complies with the requirements that apply to an issuer that is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“SVIA” and our Warrants are listed on the Nasdaq Capital Market under the symbol “SVIAW.” On October 14, 2026, the closing price of our Common Stock was $3.79 and the closing price for our Warrants was $0.45.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and investment in our securities involve significant risks. </w:t>
      </w:r>
      <w:r>
        <w:rPr>
          <w:rFonts w:ascii="Times New Roman;Times;Serif" w:hAnsi="Times New Roman;Times;Serif"/>
          <w:b/>
          <w:i w:val="false"/>
          <w:caps w:val="false"/>
          <w:smallCaps w:val="false"/>
          <w:sz w:val="20"/>
        </w:rPr>
        <w:t xml:space="preserve">These risks are described in the section titled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7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October 15,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70" w:type="dxa"/>
            <w:tcBorders/>
            <w:shd w:fill="CCEEFF" w:val="clear"/>
            <w:vAlign w:val="center"/>
          </w:tcPr>
          <w:p>
            <w:pPr>
              <w:pStyle w:val="TableContents"/>
              <w:bidi w:val="0"/>
              <w:spacing w:before="0" w:after="283"/>
              <w:jc w:val="both"/>
              <w:rPr/>
            </w:pPr>
            <w:hyperlink w:anchor="BP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BP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BP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BP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470" w:type="dxa"/>
            <w:tcBorders/>
            <w:shd w:fill="CCEEFF" w:val="clear"/>
            <w:vAlign w:val="center"/>
          </w:tcPr>
          <w:p>
            <w:pPr>
              <w:pStyle w:val="TableContents"/>
              <w:bidi w:val="0"/>
              <w:spacing w:before="0" w:after="283"/>
              <w:jc w:val="both"/>
              <w:rPr/>
            </w:pPr>
            <w:hyperlink w:anchor="BP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470" w:type="dxa"/>
            <w:tcBorders/>
            <w:shd w:fill="FFFFFF" w:val="clear"/>
            <w:vAlign w:val="center"/>
          </w:tcPr>
          <w:p>
            <w:pPr>
              <w:pStyle w:val="TableContents"/>
              <w:bidi w:val="0"/>
              <w:spacing w:before="0" w:after="283"/>
              <w:jc w:val="both"/>
              <w:rPr/>
            </w:pPr>
            <w:hyperlink w:anchor="BP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both"/>
              <w:rPr/>
            </w:pPr>
            <w:hyperlink w:anchor="BP_007">
              <w:r>
                <w:rPr>
                  <w:rStyle w:val="InternetLink"/>
                  <w:rFonts w:ascii="Times New Roman;Times;Serif" w:hAnsi="Times New Roman;Times;Serif"/>
                  <w:b w:val="false"/>
                  <w:i w:val="false"/>
                  <w:caps w:val="false"/>
                  <w:smallCaps w:val="false"/>
                  <w:sz w:val="20"/>
                </w:rPr>
                <w:t>DETERMINATION OF OFFERING PRICE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both"/>
              <w:rPr/>
            </w:pPr>
            <w:hyperlink w:anchor="BP_008">
              <w:r>
                <w:rPr>
                  <w:rStyle w:val="InternetLink"/>
                  <w:rFonts w:ascii="Times New Roman;Times;Serif" w:hAnsi="Times New Roman;Times;Serif"/>
                  <w:b w:val="false"/>
                  <w:i w:val="false"/>
                  <w:caps w:val="false"/>
                  <w:smallCaps w:val="false"/>
                  <w:sz w:val="20"/>
                </w:rPr>
                <w:t>DIVIDEND POLICY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both"/>
              <w:rPr/>
            </w:pPr>
            <w:hyperlink w:anchor="BP_009">
              <w:r>
                <w:rPr>
                  <w:rStyle w:val="InternetLink"/>
                  <w:rFonts w:ascii="Times New Roman;Times;Serif" w:hAnsi="Times New Roman;Times;Serif"/>
                  <w:b w:val="false"/>
                  <w:i w:val="false"/>
                  <w:caps w:val="false"/>
                  <w:smallCaps w:val="false"/>
                  <w:sz w:val="20"/>
                </w:rPr>
                <w:t>MARKET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left"/>
              <w:rPr/>
            </w:pPr>
            <w:hyperlink w:anchor="BP_01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470" w:type="dxa"/>
            <w:tcBorders/>
            <w:shd w:fill="CCEEFF" w:val="clear"/>
            <w:vAlign w:val="center"/>
          </w:tcPr>
          <w:p>
            <w:pPr>
              <w:pStyle w:val="TableContents"/>
              <w:bidi w:val="0"/>
              <w:spacing w:before="0" w:after="283"/>
              <w:jc w:val="both"/>
              <w:rPr/>
            </w:pPr>
            <w:hyperlink w:anchor="BP_011">
              <w:r>
                <w:rPr>
                  <w:rStyle w:val="InternetLink"/>
                  <w:rFonts w:ascii="Times New Roman;Times;Serif" w:hAnsi="Times New Roman;Times;Serif"/>
                  <w:b w:val="false"/>
                  <w:i w:val="false"/>
                  <w:caps w:val="false"/>
                  <w:smallCaps w:val="false"/>
                  <w:sz w:val="20"/>
                </w:rPr>
                <w:t>BUSINESS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470" w:type="dxa"/>
            <w:tcBorders/>
            <w:shd w:fill="FFFFFF" w:val="clear"/>
            <w:vAlign w:val="center"/>
          </w:tcPr>
          <w:p>
            <w:pPr>
              <w:pStyle w:val="TableContents"/>
              <w:bidi w:val="0"/>
              <w:spacing w:before="0" w:after="283"/>
              <w:jc w:val="both"/>
              <w:rPr/>
            </w:pPr>
            <w:hyperlink w:anchor="BP_012">
              <w:r>
                <w:rPr>
                  <w:rStyle w:val="InternetLink"/>
                  <w:rFonts w:ascii="Times New Roman;Times;Serif" w:hAnsi="Times New Roman;Times;Serif"/>
                  <w:b w:val="false"/>
                  <w:i w:val="false"/>
                  <w:caps w:val="false"/>
                  <w:smallCaps w:val="false"/>
                  <w:sz w:val="20"/>
                </w:rPr>
                <w:t>MANAGEMENT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CCEEFF" w:val="clear"/>
            <w:vAlign w:val="center"/>
          </w:tcPr>
          <w:p>
            <w:pPr>
              <w:pStyle w:val="TableContents"/>
              <w:bidi w:val="0"/>
              <w:spacing w:before="0" w:after="283"/>
              <w:jc w:val="both"/>
              <w:rPr/>
            </w:pPr>
            <w:hyperlink w:anchor="BP_013">
              <w:r>
                <w:rPr>
                  <w:rStyle w:val="InternetLink"/>
                  <w:rFonts w:ascii="Times New Roman;Times;Serif" w:hAnsi="Times New Roman;Times;Serif"/>
                  <w:b w:val="false"/>
                  <w:i w:val="false"/>
                  <w:caps w:val="false"/>
                  <w:smallCaps w:val="false"/>
                  <w:sz w:val="20"/>
                </w:rPr>
                <w:t>EXECUTIVE AND DIRECTOR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470" w:type="dxa"/>
            <w:tcBorders/>
            <w:shd w:fill="FFFFFF" w:val="clear"/>
            <w:vAlign w:val="center"/>
          </w:tcPr>
          <w:p>
            <w:pPr>
              <w:pStyle w:val="TableContents"/>
              <w:bidi w:val="0"/>
              <w:spacing w:before="0" w:after="283"/>
              <w:jc w:val="both"/>
              <w:rPr/>
            </w:pPr>
            <w:hyperlink w:anchor="BP_014">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9470" w:type="dxa"/>
            <w:tcBorders/>
            <w:shd w:fill="CCEEFF" w:val="clear"/>
            <w:vAlign w:val="center"/>
          </w:tcPr>
          <w:p>
            <w:pPr>
              <w:pStyle w:val="TableContents"/>
              <w:bidi w:val="0"/>
              <w:spacing w:before="0" w:after="283"/>
              <w:jc w:val="both"/>
              <w:rPr/>
            </w:pPr>
            <w:hyperlink w:anchor="BP_015">
              <w:r>
                <w:rPr>
                  <w:rStyle w:val="InternetLink"/>
                  <w:rFonts w:ascii="Times New Roman;Times;Serif" w:hAnsi="Times New Roman;Times;Serif"/>
                  <w:b w:val="false"/>
                  <w:i w:val="false"/>
                  <w:caps w:val="false"/>
                  <w:smallCaps w:val="false"/>
                  <w:sz w:val="20"/>
                </w:rPr>
                <w:t>PRINCIPAL STOCKHOLDERS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470" w:type="dxa"/>
            <w:tcBorders/>
            <w:shd w:fill="FFFFFF" w:val="clear"/>
            <w:vAlign w:val="center"/>
          </w:tcPr>
          <w:p>
            <w:pPr>
              <w:pStyle w:val="TableContents"/>
              <w:bidi w:val="0"/>
              <w:spacing w:before="0" w:after="283"/>
              <w:jc w:val="both"/>
              <w:rPr/>
            </w:pPr>
            <w:hyperlink w:anchor="BP_016">
              <w:r>
                <w:rPr>
                  <w:rStyle w:val="InternetLink"/>
                  <w:rFonts w:ascii="Times New Roman;Times;Serif" w:hAnsi="Times New Roman;Times;Serif"/>
                  <w:b w:val="false"/>
                  <w:i w:val="false"/>
                  <w:caps w:val="false"/>
                  <w:smallCaps w:val="false"/>
                  <w:sz w:val="20"/>
                </w:rPr>
                <w:t>SELLING SECURITYHOLDERS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9470" w:type="dxa"/>
            <w:tcBorders/>
            <w:shd w:fill="CCEEFF" w:val="clear"/>
            <w:vAlign w:val="center"/>
          </w:tcPr>
          <w:p>
            <w:pPr>
              <w:pStyle w:val="TableContents"/>
              <w:bidi w:val="0"/>
              <w:spacing w:before="0" w:after="283"/>
              <w:jc w:val="both"/>
              <w:rPr/>
            </w:pPr>
            <w:hyperlink w:anchor="BP_017">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9470" w:type="dxa"/>
            <w:tcBorders/>
            <w:shd w:fill="FFFFFF" w:val="clear"/>
            <w:vAlign w:val="center"/>
          </w:tcPr>
          <w:p>
            <w:pPr>
              <w:pStyle w:val="TableContents"/>
              <w:bidi w:val="0"/>
              <w:spacing w:before="0" w:after="283"/>
              <w:jc w:val="both"/>
              <w:rPr/>
            </w:pPr>
            <w:hyperlink w:anchor="BP_018">
              <w:r>
                <w:rPr>
                  <w:rStyle w:val="InternetLink"/>
                  <w:rFonts w:ascii="Times New Roman;Times;Serif" w:hAnsi="Times New Roman;Times;Serif"/>
                  <w:b w:val="false"/>
                  <w:i w:val="false"/>
                  <w:caps w:val="false"/>
                  <w:smallCaps w:val="false"/>
                  <w:sz w:val="20"/>
                </w:rPr>
                <w:t>SECURITIES ACT RESTRICTIONS ON RESALE OF OUR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470" w:type="dxa"/>
            <w:tcBorders/>
            <w:shd w:fill="CCEEFF" w:val="clear"/>
            <w:vAlign w:val="center"/>
          </w:tcPr>
          <w:p>
            <w:pPr>
              <w:pStyle w:val="TableContents"/>
              <w:bidi w:val="0"/>
              <w:spacing w:before="0" w:after="283"/>
              <w:jc w:val="both"/>
              <w:rPr/>
            </w:pPr>
            <w:hyperlink w:anchor="BP_01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470" w:type="dxa"/>
            <w:tcBorders/>
            <w:shd w:fill="FFFFFF" w:val="clear"/>
            <w:vAlign w:val="center"/>
          </w:tcPr>
          <w:p>
            <w:pPr>
              <w:pStyle w:val="TableContents"/>
              <w:bidi w:val="0"/>
              <w:spacing w:before="0" w:after="283"/>
              <w:jc w:val="both"/>
              <w:rPr/>
            </w:pPr>
            <w:hyperlink w:anchor="BP_020">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470" w:type="dxa"/>
            <w:tcBorders/>
            <w:shd w:fill="CCEEFF" w:val="clear"/>
            <w:vAlign w:val="center"/>
          </w:tcPr>
          <w:p>
            <w:pPr>
              <w:pStyle w:val="TableContents"/>
              <w:bidi w:val="0"/>
              <w:spacing w:before="0" w:after="283"/>
              <w:jc w:val="both"/>
              <w:rPr/>
            </w:pPr>
            <w:hyperlink w:anchor="BP_021">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470" w:type="dxa"/>
            <w:tcBorders/>
            <w:shd w:fill="FFFFFF" w:val="clear"/>
            <w:vAlign w:val="center"/>
          </w:tcPr>
          <w:p>
            <w:pPr>
              <w:pStyle w:val="TableContents"/>
              <w:bidi w:val="0"/>
              <w:spacing w:before="0" w:after="283"/>
              <w:jc w:val="both"/>
              <w:rPr/>
            </w:pPr>
            <w:hyperlink w:anchor="BP_02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470" w:type="dxa"/>
            <w:tcBorders/>
            <w:shd w:fill="CCEEFF" w:val="clear"/>
            <w:vAlign w:val="center"/>
          </w:tcPr>
          <w:p>
            <w:pPr>
              <w:pStyle w:val="TableContents"/>
              <w:bidi w:val="0"/>
              <w:spacing w:before="0" w:after="283"/>
              <w:jc w:val="both"/>
              <w:rPr/>
            </w:pPr>
            <w:hyperlink w:anchor="BP_024">
              <w:r>
                <w:rPr>
                  <w:rStyle w:val="InternetLink"/>
                  <w:rFonts w:ascii="Times New Roman;Times;Serif" w:hAnsi="Times New Roman;Times;Serif"/>
                  <w:b w:val="false"/>
                  <w:i w:val="false"/>
                  <w:caps w:val="false"/>
                  <w:smallCaps w:val="false"/>
                  <w:sz w:val="20"/>
                </w:rPr>
                <w:t>INDEX TO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BP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or the SEC, using a “shelf” registration process. By using a shelf registration statement, the Selling Securityholders may sell up to 21,559,237 shares of Common Stock from time to time in one or more offerings as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 and SM symbols, but we will assert, to the fullest extent under applicable law, our rights to these trademarks, trade names and service marks. Other trademarks, trade names and service marks appearing in this prospectus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or the context otherwise requires, references to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Silvia</w:t>
      </w:r>
      <w:r>
        <w:rPr>
          <w:rFonts w:ascii="Times New Roman;Times;Serif" w:hAnsi="Times New Roman;Times;Serif"/>
          <w:b w:val="false"/>
          <w:i w:val="false"/>
          <w:caps w:val="false"/>
          <w:smallCaps w:val="false"/>
          <w:sz w:val="20"/>
        </w:rPr>
        <w:t>” refer to the consolidated operations of Silvia, Inc. and its subsidiaries. All references herein to the “Board” refer to the board of directors of the Company. References to “Pubco” refer to the Company prior to the consummation of the Business Combination and references to “Legacy ProCap” refer to ProCap BTC, LLC prior to the consummation of the Business Combination.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BP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Section 21E of the Securities Exchange Act of 1934, as amended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All statements other than statements of historical facts contained in this prospectus, including statements regarding the financial position, business strategy and the plans and objectives of management for our future operations, are forward-looking statements. When used in this prospectus, the words “believes,” “estimates,” “expects,” “projects,” “forecasts,” “may,” “will,” “should,” “seeks,” “plans,” “scheduled,” “anticipates” or “intends” and variations of these words or similar expressions (or the negative versions of such words or expressions) are intended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These forward-looking statements speak only as of the date of this prospectus and are subject to numerous risks, including, but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expected from the Business Combination;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which may make it difficult to successfully execute our strategic initiatives and accurately evaluate future risks and challenges;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listing of the Company’s securities on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volatility of Bitcoin;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a prolonged government shutdown;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Bitcoin treasury strategy and its effects on our business;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and regulations;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growth;</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degree of our competition;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volatility of the capital markets and the establishment of a market for our shares;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the additional capital necessary to sustain our anticipated operations and implement our business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of the Company’s executive officers and other key employees;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hire and retain qualified employees;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federal, state and local laws and regulations;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global economic and societal disruptions from the impact of past terrorist attacks in the United States, threats of future attacks, political and military activities overseas, other disruptive worldwide political and economic events, and adverse weather conditions.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uncertainties and assumptions. We operate in an evolving environment. New risk factors and uncertainties may emerge from time to time, and it is not possible for management to predict all risk factors and uncertainties. We undertake no obligation to update or revise publicly any forward-looking statements, whether as a result of new information, future events or otherwise,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BP_003"/>
      <w:bookmarkEnd w:id="4"/>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7 and our consolidated financial statements and the related notes appearing at the end of this prospectus, before deciding to invest in our Common Stock or Warrants. Unless the context otherwise requires, we use the terms “Silvia,” “Company,” “we,” “us” and “our” in this prospectus to refer to Silvia, Inc. and our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Silvia is a U.S.-based modern finance company. Our mission is to help independent investors make money. Historically, our operations included investor-focused media, educational content and strategic investments designed to support independent investors through digital platforms and other content offerings. In addition, we believe that advances in artificial intelligence (“</w:t>
      </w:r>
      <w:r>
        <w:rPr>
          <w:rFonts w:ascii="Times New Roman;Times;Serif" w:hAnsi="Times New Roman;Times;Serif"/>
          <w:b w:val="false"/>
          <w:i w:val="false"/>
          <w:caps w:val="false"/>
          <w:smallCaps w:val="false"/>
          <w:sz w:val="20"/>
          <w:u w:val="single"/>
        </w:rPr>
        <w:t>AI</w:t>
      </w:r>
      <w:r>
        <w:rPr>
          <w:rFonts w:ascii="Times New Roman;Times;Serif" w:hAnsi="Times New Roman;Times;Serif"/>
          <w:b w:val="false"/>
          <w:i w:val="false"/>
          <w:caps w:val="false"/>
          <w:smallCaps w:val="false"/>
          <w:sz w:val="20"/>
        </w:rPr>
        <w:t>”) and automation have the potential to transform financial analysis, investment research and investor decision support. Our strategy is centered on developing scalable technology platforms, expanding our proprietary data and analytical capabilities, and pursuing strategic opportunities that enhance our products, services and long-term growth prospects. Through a combination of internal development initiatives and strategic acquisitions, we seek to provide technology-enabled solutions designed to improve the accessibility, efficiency and quality of financial information and analysis available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we expanded our AI-focused initiatives through the launch of Silvia Insights, an AI-driven research product designed to provide investors with market intelligence and investment research, and the acquisition of CFO Silvia, Inc. (“</w:t>
      </w:r>
      <w:r>
        <w:rPr>
          <w:rFonts w:ascii="Times New Roman;Times;Serif" w:hAnsi="Times New Roman;Times;Serif"/>
          <w:b w:val="false"/>
          <w:i w:val="false"/>
          <w:caps w:val="false"/>
          <w:smallCaps w:val="false"/>
          <w:sz w:val="20"/>
          <w:u w:val="single"/>
        </w:rPr>
        <w:t>CFO Silvia</w:t>
      </w:r>
      <w:r>
        <w:rPr>
          <w:rFonts w:ascii="Times New Roman;Times;Serif" w:hAnsi="Times New Roman;Times;Serif"/>
          <w:b w:val="false"/>
          <w:i w:val="false"/>
          <w:caps w:val="false"/>
          <w:smallCaps w:val="false"/>
          <w:sz w:val="20"/>
        </w:rPr>
        <w:t>” and such acquisition, the “</w:t>
      </w:r>
      <w:r>
        <w:rPr>
          <w:rFonts w:ascii="Times New Roman;Times;Serif" w:hAnsi="Times New Roman;Times;Serif"/>
          <w:b w:val="false"/>
          <w:i w:val="false"/>
          <w:caps w:val="false"/>
          <w:smallCaps w:val="false"/>
          <w:sz w:val="20"/>
          <w:u w:val="single"/>
        </w:rPr>
        <w:t>CFO Silvia Acquisition</w:t>
      </w:r>
      <w:r>
        <w:rPr>
          <w:rFonts w:ascii="Times New Roman;Times;Serif" w:hAnsi="Times New Roman;Times;Serif"/>
          <w:b w:val="false"/>
          <w:i w:val="false"/>
          <w:caps w:val="false"/>
          <w:smallCaps w:val="false"/>
          <w:sz w:val="20"/>
        </w:rPr>
        <w:t>”), a consumer-focused financial technology platform that utilizes AI to aggregate and analyze financial information. During the quarter ended June 30, 2026, we further expanded our business to include asset management through the launch of Silvia Innovation Fund I, LP, a Delaware limited partnership (the “</w:t>
      </w:r>
      <w:r>
        <w:rPr>
          <w:rFonts w:ascii="Times New Roman;Times;Serif" w:hAnsi="Times New Roman;Times;Serif"/>
          <w:b w:val="false"/>
          <w:i w:val="false"/>
          <w:caps w:val="false"/>
          <w:smallCaps w:val="false"/>
          <w:sz w:val="20"/>
          <w:u w:val="single"/>
        </w:rPr>
        <w:t>Initial Fund</w:t>
      </w:r>
      <w:r>
        <w:rPr>
          <w:rFonts w:ascii="Times New Roman;Times;Serif" w:hAnsi="Times New Roman;Times;Serif"/>
          <w:b w:val="false"/>
          <w:i w:val="false"/>
          <w:caps w:val="false"/>
          <w:smallCaps w:val="false"/>
          <w:sz w:val="20"/>
        </w:rPr>
        <w:t>” and, together with any other private funds, alternative investment vehicles or co-investment vehicles that we or our subsidiaries sponsor, advise or manage,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and, on August 13, 2026, an unaffiliated third-party trust filed a registration statement with respect to five proposed exchange-traded funds for which one of our subsidiaries is proposed to serve as investment sub-adviser. We also have adopted a Bitcoin treasury strategy and intend to hold Bitcoin as a treasury reserve asset. Our business is built upon a foundational belief that Bitcoin represents a superior long-term store of value and a viable alternative to traditional fiat-based reserve assets, and we believe that Bitcoin will play an increasingly important role as a reserve asset for individuals, corporations and governments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the Company, Columbus Circle Capital Corp I, a Cayman Islands exempted company (“</w:t>
      </w:r>
      <w:r>
        <w:rPr>
          <w:rFonts w:ascii="Times New Roman;Times;Serif" w:hAnsi="Times New Roman;Times;Serif"/>
          <w:b w:val="false"/>
          <w:i w:val="false"/>
          <w:caps w:val="false"/>
          <w:smallCaps w:val="false"/>
          <w:sz w:val="20"/>
          <w:u w:val="single"/>
        </w:rPr>
        <w:t>CCCM</w:t>
      </w:r>
      <w:r>
        <w:rPr>
          <w:rFonts w:ascii="Times New Roman;Times;Serif" w:hAnsi="Times New Roman;Times;Serif"/>
          <w:b w:val="false"/>
          <w:i w:val="false"/>
          <w:caps w:val="false"/>
          <w:smallCaps w:val="false"/>
          <w:sz w:val="20"/>
        </w:rPr>
        <w:t>”), Crius SPAC Merger Sub, Inc., a Delaware corporation and a wholly owned subsidiary of the Company (“</w:t>
      </w:r>
      <w:r>
        <w:rPr>
          <w:rFonts w:ascii="Times New Roman;Times;Serif" w:hAnsi="Times New Roman;Times;Serif"/>
          <w:b w:val="false"/>
          <w:i w:val="false"/>
          <w:caps w:val="false"/>
          <w:smallCaps w:val="false"/>
          <w:sz w:val="20"/>
          <w:u w:val="single"/>
        </w:rPr>
        <w:t>SPAC Merger Sub</w:t>
      </w:r>
      <w:r>
        <w:rPr>
          <w:rFonts w:ascii="Times New Roman;Times;Serif" w:hAnsi="Times New Roman;Times;Serif"/>
          <w:b w:val="false"/>
          <w:i w:val="false"/>
          <w:caps w:val="false"/>
          <w:smallCaps w:val="false"/>
          <w:sz w:val="20"/>
        </w:rPr>
        <w:t>”), Crius Merger Sub, LLC, a Delaware limited liability company and a wholly owned subsidiary of the Company (“</w:t>
      </w:r>
      <w:r>
        <w:rPr>
          <w:rFonts w:ascii="Times New Roman;Times;Serif" w:hAnsi="Times New Roman;Times;Serif"/>
          <w:b w:val="false"/>
          <w:i w:val="false"/>
          <w:caps w:val="false"/>
          <w:smallCaps w:val="false"/>
          <w:sz w:val="20"/>
          <w:u w:val="single"/>
        </w:rPr>
        <w:t>Company Merger Sub</w:t>
      </w:r>
      <w:r>
        <w:rPr>
          <w:rFonts w:ascii="Times New Roman;Times;Serif" w:hAnsi="Times New Roman;Times;Serif"/>
          <w:b w:val="false"/>
          <w:i w:val="false"/>
          <w:caps w:val="false"/>
          <w:smallCaps w:val="false"/>
          <w:sz w:val="20"/>
        </w:rPr>
        <w:t>”), Legacy ProCap, and Inflection Points Inc d/b/a Professional Capital Management,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previously entered into a business combination agreement, dated June 23, 2025, (and as may be further amended, restated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and, together with the Transaction Financings (as defined below) and other transactions contemplated by the Business Combination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On July 28, 2025, the parties to the Business Combination Agreement entered into the First Amendment to the Business Combination Agreement (the “</w:t>
      </w:r>
      <w:r>
        <w:rPr>
          <w:rFonts w:ascii="Times New Roman;Times;Serif" w:hAnsi="Times New Roman;Times;Serif"/>
          <w:b w:val="false"/>
          <w:i w:val="false"/>
          <w:caps w:val="false"/>
          <w:smallCaps w:val="false"/>
          <w:sz w:val="20"/>
          <w:u w:val="single"/>
        </w:rPr>
        <w:t>First Amendment to the Business Combination Agreement</w:t>
      </w:r>
      <w:r>
        <w:rPr>
          <w:rFonts w:ascii="Times New Roman;Times;Serif" w:hAnsi="Times New Roman;Times;Serif"/>
          <w:b w:val="false"/>
          <w:i w:val="false"/>
          <w:caps w:val="false"/>
          <w:smallCaps w:val="false"/>
          <w:sz w:val="20"/>
        </w:rPr>
        <w:t>”), which amended the Business Combination Agreement to provide, among other things, that 15% of the adjustment shares, which were originally to be delivered to the holders of common units of Legacy ProCap, would be reallocated to non-redeeming public shareholders. On December 5, 2025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as contemplated by the Business Combination Agreement, the Company consummated the Business Combination, pursuant to which: (i) SPAC Merger Sub merged with and into CCCM, with CCCM continuing as the surviving entity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and (ii) Company Merger Sub merged with and into Legacy ProCap, with Legacy ProCap continuing as the surviving company (the “</w:t>
      </w:r>
      <w:r>
        <w:rPr>
          <w:rFonts w:ascii="Times New Roman;Times;Serif" w:hAnsi="Times New Roman;Times;Serif"/>
          <w:b w:val="false"/>
          <w:i w:val="false"/>
          <w:caps w:val="false"/>
          <w:smallCaps w:val="false"/>
          <w:sz w:val="20"/>
          <w:u w:val="single"/>
        </w:rPr>
        <w:t>Company Merger,</w:t>
      </w:r>
      <w:r>
        <w:rPr>
          <w:rFonts w:ascii="Times New Roman;Times;Serif" w:hAnsi="Times New Roman;Times;Serif"/>
          <w:b w:val="false"/>
          <w:i w:val="false"/>
          <w:caps w:val="false"/>
          <w:smallCaps w:val="false"/>
          <w:sz w:val="20"/>
        </w:rPr>
        <w:t>” and together with SPAC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and subject to the terms and conditions set forth therein, (i) at least one business day prior to the Closing, CCCM de-registered from the Register of Companies in the Cayman Islands by way of continuation and re-register in the State of Delaware so as to become a Delaware corporation (the “</w:t>
      </w:r>
      <w:r>
        <w:rPr>
          <w:rFonts w:ascii="Times New Roman;Times;Serif" w:hAnsi="Times New Roman;Times;Serif"/>
          <w:b w:val="false"/>
          <w:i w:val="false"/>
          <w:caps w:val="false"/>
          <w:smallCaps w:val="false"/>
          <w:sz w:val="20"/>
          <w:u w:val="single"/>
        </w:rPr>
        <w:t>Domestication</w:t>
      </w:r>
      <w:r>
        <w:rPr>
          <w:rFonts w:ascii="Times New Roman;Times;Serif" w:hAnsi="Times New Roman;Times;Serif"/>
          <w:b w:val="false"/>
          <w:i w:val="false"/>
          <w:caps w:val="false"/>
          <w:smallCaps w:val="false"/>
          <w:sz w:val="20"/>
        </w:rPr>
        <w:t>”), and (ii) upon the Closing, (x) in connection with the SPAC Merger, each outstanding share of common stock of CCCM immediately prior to the effective time of the SPAC Merger was automatically cancelled in exchange for the right to receive shares of common stock, par value $0.001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each holder of a warrant of CCCM received a warrant to purchase one share of Common Stock (each, a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and (y) in connection with the Company Merger, the ProCap Holders received, in exchange for their membership interests in Legacy ProCap, shares of Common Stock. As a result of the Business Combination, CCCM and Legacy ProCap became wholly-owned subsidiaries of the Company, and the Company became a publicly traded company, all in accordance with applicable law and upon the terms and subject to the conditions set forth in the Business Combination Agreement. The rights of holders of our Common Stock and Warrants are governed by our Amended and Restated certificate of incorporation (our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our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See the section entitled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on June 23, 2025, the Convertible Note Investors each entered into a subscription agreement (collectively, the “</w:t>
      </w:r>
      <w:r>
        <w:rPr>
          <w:rFonts w:ascii="Times New Roman;Times;Serif" w:hAnsi="Times New Roman;Times;Serif"/>
          <w:b w:val="false"/>
          <w:i w:val="false"/>
          <w:caps w:val="false"/>
          <w:smallCaps w:val="false"/>
          <w:sz w:val="20"/>
          <w:u w:val="single"/>
        </w:rPr>
        <w:t>Convertible Note Subscription Agreements</w:t>
      </w:r>
      <w:r>
        <w:rPr>
          <w:rFonts w:ascii="Times New Roman;Times;Serif" w:hAnsi="Times New Roman;Times;Serif"/>
          <w:b w:val="false"/>
          <w:i w:val="false"/>
          <w:caps w:val="false"/>
          <w:smallCaps w:val="false"/>
          <w:sz w:val="20"/>
        </w:rPr>
        <w:t>”) with us, Legacy ProCap, and CCCM pursuant to which, upon the Closing, the Convertible Note Investors purchased convertible notes issued by the Company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in an aggregate principal amount of $235.0 million, for an aggregate purchase price equal to 97% of the aggregate principal amount of the Convertible Notes (the “</w:t>
      </w:r>
      <w:r>
        <w:rPr>
          <w:rFonts w:ascii="Times New Roman;Times;Serif" w:hAnsi="Times New Roman;Times;Serif"/>
          <w:b w:val="false"/>
          <w:i w:val="false"/>
          <w:caps w:val="false"/>
          <w:smallCaps w:val="false"/>
          <w:sz w:val="20"/>
          <w:u w:val="single"/>
        </w:rPr>
        <w:t>Convertible Note Financing</w:t>
      </w:r>
      <w:r>
        <w:rPr>
          <w:rFonts w:ascii="Times New Roman;Times;Serif" w:hAnsi="Times New Roman;Times;Serif"/>
          <w:b w:val="false"/>
          <w:i w:val="false"/>
          <w:caps w:val="false"/>
          <w:smallCaps w:val="false"/>
          <w:sz w:val="20"/>
        </w:rPr>
        <w:t>” and, together with the purchase of preferred units by certain subscribers pursuant to the preferred equity subscription agreements, dated as of June 23, 2025 (the “</w:t>
      </w:r>
      <w:r>
        <w:rPr>
          <w:rFonts w:ascii="Times New Roman;Times;Serif" w:hAnsi="Times New Roman;Times;Serif"/>
          <w:b w:val="false"/>
          <w:i w:val="false"/>
          <w:caps w:val="false"/>
          <w:smallCaps w:val="false"/>
          <w:sz w:val="20"/>
          <w:u w:val="single"/>
        </w:rPr>
        <w:t>Preferred Equity Investment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Transaction Financings</w:t>
      </w:r>
      <w:r>
        <w:rPr>
          <w:rFonts w:ascii="Times New Roman;Times;Serif" w:hAnsi="Times New Roman;Times;Serif"/>
          <w:b w:val="false"/>
          <w:i w:val="false"/>
          <w:caps w:val="false"/>
          <w:smallCaps w:val="false"/>
          <w:sz w:val="20"/>
        </w:rPr>
        <w:t>”). The Convertible Note Financing was funded and contingent upon the Closing. The Convertible Notes have a 130% conversion rate, zero interest rate, maturity of up to 36 months, and are collateralized by cash, cash equivalents and certain Bitcoin assets. Under the indenture associated with the Convertible Note Financing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Company has up to 30 days from the Closing to achieve, and must maintain at all times thereafter, a 1.0:1.0 loan-to-collateral ratio compliance level with respect to the Convertible Notes using a mix of Bitcoin (with Bitcoin being valued at 50% for collateral calculation purposes), cash and cash equivalents (with cash and cash equivalents being valued at 100% for collateral calculation purposes). While the Company is not obligated under the terms of the Indenture to maintain any specific minimum percentage of the collateral for the Convertible Notes in the form of Bitcoin, as of October 6, 2026, no less than approximately 47% of the Company’s aggregate Bitcoin holdings will serve as collateral under the Indenture. U.S. Bank Trust Company, National Association serves as collateral agent and trustee with regard to the Convertible Notes and associated indenture and security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material developments in our business since the date of the prospectus dated January 23, 2026, in each case as reported in our filings with the SEC through 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Repurchase of Convertible Notes. </w:t>
      </w:r>
      <w:r>
        <w:rPr>
          <w:rFonts w:ascii="Times New Roman;Times;Serif" w:hAnsi="Times New Roman;Times;Serif"/>
          <w:b w:val="false"/>
          <w:i w:val="false"/>
          <w:caps w:val="false"/>
          <w:smallCaps w:val="false"/>
          <w:sz w:val="20"/>
        </w:rPr>
        <w:t>On February 9, 2026, we entered into privately negotiated note repurchase agreements with certain holders of the Convertible Notes and repurchased $135.4 million aggregate principal amount of the Convertible Notes for an aggregate cash purchase price of $119.2 million. As of June 30, 2026, $99.6 million aggregate principal amount of Convertible Notes remained outstanding, with a net carrying value of $92.3 million. The Convertible Notes have a conversion rate of 76.9 shares of Common Stock per $1,000 principal amount, equal to a conversion price of approximately $13.00 per share. Although the Convertible Notes mature in 2028, holders have the right to require us to repurchase all or a portion of the Convertible Notes for cash at a price equal to 100% of the outstanding principal amount on June 5,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of CFO Silvia, Inc. </w:t>
      </w:r>
      <w:r>
        <w:rPr>
          <w:rFonts w:ascii="Times New Roman;Times;Serif" w:hAnsi="Times New Roman;Times;Serif"/>
          <w:b w:val="false"/>
          <w:i w:val="false"/>
          <w:caps w:val="false"/>
          <w:smallCaps w:val="false"/>
          <w:sz w:val="20"/>
        </w:rPr>
        <w:t>On April 6, 2026, we completed our acquisition of CFO Silvia, Inc. pursuant to an Agreement and Plan of Merger dated as of February 9, 2026. The merger consideration consisted of (i) 8,100,000 shares of Common Stock, reduced to 7,516,951 shares to account for certain unpaid liabilities as of the closing date, (ii) 900,000 shares of Common Stock deposited into escrow for twelve months to secure indemnification obligations under the merger agreement, and (iii) up to 9,000,000 additional shares of Common Stock issuable as earnout consideration if the daily volume-weighted average trading price of our Common Stock, determined over the ten-day period ending the day prior to the applicable determination date, equals or exceeds $9.00 per share during the five-year period following the closing date. The offer and sale of the closing shares and the escrow shares were not registered under the Securities Act and were made in reliance on Section 4(a)(2) of the Securities Act. We entered into a registration rights agreement covering the resale of the closing shares, the escrow shares and the earnout shares. None of those shares are offered by this prospectus. Effective as of the closing date, Shain Noor, CFO Silvia’s co-founder, was appointed our Chief Technology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Expansion into Asset Management.</w:t>
      </w:r>
      <w:r>
        <w:rPr>
          <w:rFonts w:ascii="Times New Roman;Times;Serif" w:hAnsi="Times New Roman;Times;Serif"/>
          <w:b w:val="false"/>
          <w:i w:val="false"/>
          <w:caps w:val="false"/>
          <w:smallCaps w:val="false"/>
          <w:sz w:val="20"/>
        </w:rPr>
        <w:t xml:space="preserve"> During the quarter ended June 30, 2026, we expanded our business to include asset management through the launch of the Initial Fund. As of June 30, 2026, the Initial Fund and the related entities had not commenced significant operations and had not engaged in material transactions.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Proposed Exchange-Traded Funds. </w:t>
      </w:r>
      <w:r>
        <w:rPr>
          <w:rFonts w:ascii="Times New Roman;Times;Serif" w:hAnsi="Times New Roman;Times;Serif"/>
          <w:b w:val="false"/>
          <w:i w:val="false"/>
          <w:caps w:val="false"/>
          <w:smallCaps w:val="false"/>
          <w:sz w:val="20"/>
        </w:rPr>
        <w:t>On August 13, 2026, Tidal Trust IV, a Delaware statutory trust that is not affiliated with us (the “</w:t>
      </w:r>
      <w:r>
        <w:rPr>
          <w:rFonts w:ascii="Times New Roman;Times;Serif" w:hAnsi="Times New Roman;Times;Serif"/>
          <w:b w:val="false"/>
          <w:i w:val="false"/>
          <w:caps w:val="false"/>
          <w:smallCaps w:val="false"/>
          <w:sz w:val="20"/>
          <w:u w:val="single"/>
        </w:rPr>
        <w:t>ETF Trust</w:t>
      </w:r>
      <w:r>
        <w:rPr>
          <w:rFonts w:ascii="Times New Roman;Times;Serif" w:hAnsi="Times New Roman;Times;Serif"/>
          <w:b w:val="false"/>
          <w:i w:val="false"/>
          <w:caps w:val="false"/>
          <w:smallCaps w:val="false"/>
          <w:sz w:val="20"/>
        </w:rPr>
        <w:t>”), filed a registration statement on Form N-1A with the SEC with respect to five proposed actively managed exchange-traded funds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Tidal Investments LLC serves as investment adviser to the Silvia ETFs (the “</w:t>
      </w:r>
      <w:r>
        <w:rPr>
          <w:rFonts w:ascii="Times New Roman;Times;Serif" w:hAnsi="Times New Roman;Times;Serif"/>
          <w:b w:val="false"/>
          <w:i w:val="false"/>
          <w:caps w:val="false"/>
          <w:smallCaps w:val="false"/>
          <w:sz w:val="20"/>
          <w:u w:val="single"/>
        </w:rPr>
        <w:t>Adviser</w:t>
      </w:r>
      <w:r>
        <w:rPr>
          <w:rFonts w:ascii="Times New Roman;Times;Serif" w:hAnsi="Times New Roman;Times;Serif"/>
          <w:b w:val="false"/>
          <w:i w:val="false"/>
          <w:caps w:val="false"/>
          <w:smallCaps w:val="false"/>
          <w:sz w:val="20"/>
        </w:rPr>
        <w:t>”), and ProCap Investment Advisers, LLC, a Delaware limited liability company and wholly-owned subsidiary of the Company (the “</w:t>
      </w:r>
      <w:r>
        <w:rPr>
          <w:rFonts w:ascii="Times New Roman;Times;Serif" w:hAnsi="Times New Roman;Times;Serif"/>
          <w:b w:val="false"/>
          <w:i w:val="false"/>
          <w:caps w:val="false"/>
          <w:smallCaps w:val="false"/>
          <w:sz w:val="20"/>
          <w:u w:val="single"/>
        </w:rPr>
        <w:t>Investment Manager</w:t>
      </w:r>
      <w:r>
        <w:rPr>
          <w:rFonts w:ascii="Times New Roman;Times;Serif" w:hAnsi="Times New Roman;Times;Serif"/>
          <w:b w:val="false"/>
          <w:i w:val="false"/>
          <w:caps w:val="false"/>
          <w:smallCaps w:val="false"/>
          <w:sz w:val="20"/>
        </w:rPr>
        <w:t>”) is proposed to serve as investment sub-adviser (in that capacity, the “</w:t>
      </w:r>
      <w:r>
        <w:rPr>
          <w:rFonts w:ascii="Times New Roman;Times;Serif" w:hAnsi="Times New Roman;Times;Serif"/>
          <w:b w:val="false"/>
          <w:i w:val="false"/>
          <w:caps w:val="false"/>
          <w:smallCaps w:val="false"/>
          <w:sz w:val="20"/>
          <w:u w:val="single"/>
        </w:rPr>
        <w:t>Sub-Adviser</w:t>
      </w:r>
      <w:r>
        <w:rPr>
          <w:rFonts w:ascii="Times New Roman;Times;Serif" w:hAnsi="Times New Roman;Times;Serif"/>
          <w:b w:val="false"/>
          <w:i w:val="false"/>
          <w:caps w:val="false"/>
          <w:smallCaps w:val="false"/>
          <w:sz w:val="20"/>
        </w:rPr>
        <w:t>”) and to provide portfolio management services. As of October 6, 2026, we had not earned any sub-advisory fees, no seed capital had been committed or funded by us or our subsidiaries and costs incurred in connection with the proposed funds were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Purpose Vehicle Investments.</w:t>
      </w:r>
      <w:r>
        <w:rPr>
          <w:rFonts w:ascii="Times New Roman;Times;Serif" w:hAnsi="Times New Roman;Times;Serif"/>
          <w:b w:val="false"/>
          <w:i w:val="false"/>
          <w:caps w:val="false"/>
          <w:smallCaps w:val="false"/>
          <w:sz w:val="20"/>
        </w:rPr>
        <w:t xml:space="preserve"> On August 26, 2026, we expanded our asset management through the launch of Silvia SPV, LP (the “</w:t>
      </w:r>
      <w:r>
        <w:rPr>
          <w:rFonts w:ascii="Times New Roman;Times;Serif" w:hAnsi="Times New Roman;Times;Serif"/>
          <w:b w:val="false"/>
          <w:i w:val="false"/>
          <w:caps w:val="false"/>
          <w:smallCaps w:val="false"/>
          <w:sz w:val="20"/>
          <w:u w:val="single"/>
        </w:rPr>
        <w:t>SPV Fund</w:t>
      </w:r>
      <w:r>
        <w:rPr>
          <w:rFonts w:ascii="Times New Roman;Times;Serif" w:hAnsi="Times New Roman;Times;Serif"/>
          <w:b w:val="false"/>
          <w:i w:val="false"/>
          <w:caps w:val="false"/>
          <w:smallCaps w:val="false"/>
          <w:sz w:val="20"/>
        </w:rPr>
        <w:t>”), which is advised by the Investment Manager. The SPV Fund has committed to invest in three privately-held companies for a total of $11.0 million, which will be initially funded by the Company. As of October 6, 2026, we had not earned any management fees on those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Name Change</w:t>
      </w:r>
      <w:r>
        <w:rPr>
          <w:rFonts w:ascii="Times New Roman;Times;Serif" w:hAnsi="Times New Roman;Times;Serif"/>
          <w:b w:val="false"/>
          <w:i w:val="false"/>
          <w:caps w:val="false"/>
          <w:smallCaps w:val="false"/>
          <w:sz w:val="20"/>
        </w:rPr>
        <w:t>. On September 17, 2026, the Company filed a Certificate of Amendment to the Company’s Certificate of Incorporation with the Delaware Secretary of State to change the Company’s name from ProCap Financial, Inc. to Silvia, Inc., effective as of September 22,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of which you should be aware before making an investment decision. These risks are discussed more fully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immediately following this prospectus summary. These risks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securities in the public market by the Selling Securityholders and/or by our existing securityholders could cause the price of shares of our Common Stock to fall.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asset is Bitcoin. The concentration of our Bitcoin holdings enhances the risks inherent in our Bitcoin strategy.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AI-powered financial products and services is at an early stage and exposes us to technology, operational, and execution risks.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highly volatile asset, and our operating results and market price may significantly fluctuate, including due to the highly volatile nature of the price of Bitcoin and erratic market movements.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models on which our business depends may produce inaccurate, biased, or harmful outputs, which could expose us to reputational harm, regulatory action, and litigation.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limited operating history and the concentration of our Bitcoin holdings, it will be difficult to evaluate our business and future prospects, and we may not be able to achieve or maintain profitability in any given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computing infrastructure and on access to large quantities of high-quality data, and rapid technological change could render our AI technology obsolete or uncompetitive.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environment and compete against companies and other entities with similar strategies, including companies with significant Bitcoin holdings and spot exchange traded funds and spot exchange-traded products (“</w:t>
            </w:r>
            <w:r>
              <w:rPr>
                <w:rFonts w:ascii="Times New Roman;Times;Serif" w:hAnsi="Times New Roman;Times;Serif"/>
                <w:b w:val="false"/>
                <w:i w:val="false"/>
                <w:caps w:val="false"/>
                <w:smallCaps w:val="false"/>
                <w:sz w:val="20"/>
                <w:u w:val="single"/>
              </w:rPr>
              <w:t>ETPs</w:t>
            </w:r>
            <w:r>
              <w:rPr>
                <w:rFonts w:ascii="Times New Roman;Times;Serif" w:hAnsi="Times New Roman;Times;Serif"/>
                <w:b w:val="false"/>
                <w:i w:val="false"/>
                <w:caps w:val="false"/>
                <w:smallCaps w:val="false"/>
                <w:sz w:val="20"/>
              </w:rPr>
              <w:t>”) for Bitcoin and other digital assets, and our business, operating results, and financial condition may be adversely affected if we are unable to compete effectively.</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AI is rapidly evolving and uncertain, and new laws and regulations could restrict our operations, increase our costs, or expose us to enforcement 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Bitcoin exposes us to certain risks associated with the inherent nature of Bitcoin as a digital asset, such as price volatility, limited liquidity and trading volumes, relative anonymity, potential susceptibility to market abuse and manipulation, compliance and internal control failures at exchanges and other risks inherent in Bitcoin’s entirely electronic, virtual form and decentralized network. Our risk management methods to address these risks might not be effective.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legal and regulatory uncertainty around Bitcoin and other digital assets, and our Bitcoin strategy could subject us to enhanced regulatory oversight.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will experience dilution in the future due to any exercise of existing Warrants, any conversion of the Convertible Notes, the issuance of shares of Common Stock in connection with our acquisition of CFO Silvia, including any earnout shares, and any future issuances of our equity securities.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significant costs as a result of being a public company, including additional legal, accounting, insurance and other expenses, as well as costs associated with public company reporting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The reduced public company reporting requirements applicable to emerging growth companies may make our Common Stock less attractive to investors.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transactions with our affiliates and we expect to do so in the future. The terms of such transactions and the resolution of any conflicts that may arise may not always be in our or our stockholders’ best interests.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are active on social media, which may pose risks to our reputation, create regulatory or disclosure concerns, and impact the Common Stock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our share price could subject us to securities class action litigation.</w:t>
            </w:r>
          </w:p>
          <w:p>
            <w:pPr>
              <w:pStyle w:val="TableContents"/>
              <w:bidi w:val="0"/>
              <w:spacing w:before="0" w:after="0"/>
              <w:ind w:left="0" w:right="0" w:hanging="0"/>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indebtedness could adversely affect our financial condition and prevent us from fulfilling our obligations under the Convertible Notes and could have a further material adverse effect on our business, financial condition and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documents governing debt incurred by us other than the Convertible Notes may contain terms that restrict our current and future borrowing costs and reduce our access to capital.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secured by a substantial portion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of the Convertible Notes may not be adjusted for all dilutive events that may occur.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limited trading and liquidity for the Convertible Notes, and notwithstanding any registration rights and trading being facilitated through the facilities of The Depository Trust Company, holders’ ability to sell the Convertible Notes could be limited.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fair value gains on our Bitcoin holdings could cause us to become subject to the corporate alternative minimum tax under the Inflation Reduction Act of 2022.</w:t>
            </w:r>
          </w:p>
        </w:tc>
      </w:tr>
    </w:tbl>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our internal control over financial reporting. If we are unable to remediate the material weakness and maintain effective internal controls, the accuracy and timeliness of our financial reporting may be adversely affected, which could cause the market price of our Common Stock to decline, lessen investor confidence and harm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realize the anticipated benefits of our acquisition of CFO Silvia, and the integration of that business may be more costly or take longer than we expect.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Anthony Pompliano and other members of our senior management team and the loss of key personnel could have a material adverse effect on our business, operations, financial condition and stock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the requirements for continued listing on Nasdaq, including its independent director and audit committee requirements, and any failure to do so could result in the delisting of our Common Stock and our Warrants.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our share repurchase program will be fully consummated or that it will enhance long-term stockholder value, and share repurchases will diminish our cash and Bitcoin reserves.</w:t>
            </w:r>
          </w:p>
        </w:tc>
      </w:tr>
    </w:tbl>
    <w:p>
      <w:pPr>
        <w:pStyle w:val="TextBody"/>
        <w:bidi w:val="0"/>
        <w:jc w:val="center"/>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incorporated under the laws of the state of Delaware on June 17, 2025, for the purpose of effectuating the Business Combination. On September 17, 2026, the Company filed a Certificate of Amendment to the Company’s Certificate of Incorporation with the Delaware Secretary of State to change the Company’s name from ProCap Financial, Inc. to Silvia, Inc., effective as of September 22, 2026. Our principal executive offices are located at 600 Lexington Avenue, Floor 2, New York, New York 10022, and our telephone number is (305) 938-0912. Our website address is </w:t>
      </w:r>
      <w:r>
        <w:rPr>
          <w:rFonts w:ascii="Times New Roman;Times;Serif" w:hAnsi="Times New Roman;Times;Serif"/>
          <w:b w:val="false"/>
          <w:i/>
          <w:caps w:val="false"/>
          <w:smallCaps w:val="false"/>
          <w:sz w:val="20"/>
        </w:rPr>
        <w:t xml:space="preserve">https://www.silvia.com/. </w:t>
      </w:r>
      <w:r>
        <w:rPr>
          <w:rFonts w:ascii="Times New Roman;Times;Serif" w:hAnsi="Times New Roman;Times;Serif"/>
          <w:b w:val="false"/>
          <w:i w:val="false"/>
          <w:caps w:val="false"/>
          <w:smallCaps w:val="false"/>
          <w:sz w:val="20"/>
        </w:rPr>
        <w:t>The information contained in, or accessible through, our website does not constitute a part of this prospectus. We have included our website address in this prospectus solely as an inactive textual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last fiscal year, we qualify as an “emerging growth company” as defined in the Jumpstart Our Business Startups Act of 2012, as amended (the “</w:t>
      </w:r>
      <w:r>
        <w:rPr>
          <w:rFonts w:ascii="Times New Roman;Times;Serif" w:hAnsi="Times New Roman;Times;Serif"/>
          <w:b w:val="false"/>
          <w:i w:val="false"/>
          <w:caps w:val="false"/>
          <w:smallCaps w:val="false"/>
          <w:sz w:val="20"/>
          <w:u w:val="single"/>
        </w:rPr>
        <w:t>JOBS Act</w:t>
      </w:r>
      <w:r>
        <w:rPr>
          <w:rFonts w:ascii="Times New Roman;Times;Serif" w:hAnsi="Times New Roman;Times;Serif"/>
          <w:b w:val="false"/>
          <w:i w:val="false"/>
          <w:caps w:val="false"/>
          <w:smallCaps w:val="false"/>
          <w:sz w:val="20"/>
        </w:rPr>
        <w:t>”). An “emerging growth company” may take advantage of reduced reporting requirements that are otherwise applicable to public companies. These provisions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to present only two years of audited financial statements and only two years of related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in this prospectus;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of Section 404 of the Sarbanes-Oxley Act of 2002, as amended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proxy statements and registration statements;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BP_004"/>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60"/>
        <w:gridCol w:w="8501"/>
      </w:tblGrid>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the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21,559,237 shares of Common Stock, which consists of (i) up to 13,900,000 shares of Common Stock issued in connection with the Business Combination and (ii) up to 7,659,237 shares of Common Stock issuable upon conversion of the Convertible Notes. On February 9, 2026, we agreed to repurchase $135.4 million aggregate principal amount of the Convertible Notes. As of June 30, 2026, $99.6 million aggregate principal amount of Convertible Notes remained outstanding and 7,659,237 shares of Common Stock were issuable upon conversion of the Convertible Notes.</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12,852,478 shares of Common Stock that are issuable upon the exercise of the Warrants.</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outstanding prior to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79,375,625 shares of Common Stock (as of October 6, 2026).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outstanding prior to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12,852,478 Warrants (as of October 6, 2026).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per 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We will receive proceeds from the exercise of the Warrants for cash, but not from the sale of the shares of Common Stock issuable upon such exercise. On October 14, 2026, the last reported sales price of our Common Stock was $3.79 and the exercise price per share of the Warrants was $11.50. The exercise price of the Warrants is significantly higher than the current market price of our Common Stock and accordingly, it is highly unlikely that the holders of the Warrants will exercise their Warrants in the foreseeable future. Cash proceeds associated with the exercises of the Warrants are dependent on our stock price and given the recent price volatility of our Common Stock and relative lack of liquidity in our stock, there is no certainty that the holders of Warrants will exercise their Warrants and, accordingly, we may not receive any cash proceeds in relation to our outstanding Warrants.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7 and the other information included in this prospectus for a discussion of factors you should consider carefully before deciding to invest in our Common Stock or Warrants.</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 symbol for our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SVIA”</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 for our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SVIAW”</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BP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indicated or the context otherwise requires, references to “</w:t>
      </w:r>
      <w:r>
        <w:rPr>
          <w:rFonts w:ascii="Times New Roman;Times;Serif" w:hAnsi="Times New Roman;Times;Serif"/>
          <w:b w:val="false"/>
          <w:i/>
          <w:caps w:val="false"/>
          <w:smallCaps w:val="false"/>
          <w:sz w:val="20"/>
          <w:u w:val="single"/>
        </w:rPr>
        <w:t>Silvia</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we</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us</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our</w:t>
      </w:r>
      <w:r>
        <w:rPr>
          <w:rFonts w:ascii="Times New Roman;Times;Serif" w:hAnsi="Times New Roman;Times;Serif"/>
          <w:b w:val="false"/>
          <w:i/>
          <w:caps w:val="false"/>
          <w:smallCaps w:val="false"/>
          <w:sz w:val="20"/>
        </w:rPr>
        <w:t>” and other similar terms refer to the Company and its subsidiaries, prior to and/or after giving effect to the Business Combination,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the Selling Securityholders and/or by our existing securityholders could cause the price of shares of our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sell, under this prospectus, up to 21,559,237 shares of Common Stock, constituting approximately 27% of our issued and outstanding shares of Common Stock and approximately 35% of our issued and outstanding shares of Common Stock held by non-affiliates, as of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by the Selling Securityholders and/or by our other existing securityholders, or the perception that those sales might occur, could depress the market price of shares of our Common Stock and could impair our ability to raise capital through the sale of additional equity securities. We are unable to predict the effect that such sales may have on the prevailing market price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our outstanding Warrants and the conversion of our Convertible Notes would dilute the ownership interests of our existing stockholders and could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we had 12,852,478 Warrants outstanding, each entitling the registered holder to purchase one share of Common Stock at an exercise price of $11.50 per share, and 7,659,237 shares of Common Stock were issuable upon conversion of our outstanding Convertible Notes (after giving effect to our repurchase in February 2026 of approximately $135.4 million aggregate principal amount of Convertible Notes). To the extent the Warrants are exercised or the Convertible Notes are converted, additional shares of Common Stock will be issued, which will dilute the ownership interests of our existing stockholders and increase the number of shares eligible for resale in the public market. Sales of a substantial number of such shares, or the perception that such sales may occur, could adversely affect the prevailing market price of our Common Stock and make it more difficult for us to sell equity securities in the future at a time and price that we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Warrants are exercisable at a price that significantly exceeds recent trading prices of our Common Stock, the Warrants may expire worthless, and we may not receive any cash proceeds from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registered holder to purchase one share of our Common Stock at an exercise price of $11.50 per share, subject to adjustment. The Warrants became exercisable 30 days after the completion of the Business Combination and will expire at 5:00 p.m., New York City time, on December 5, 2030, or earlier upon redemption or liquidation. The exercise price of the Warrants has significantly exceeded recent trading prices of our Common Stock. The closing price of our Common Stock was $3.79 per share as of October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market price of our Common Stock will exceed the exercise price of the Warrants before the Warrants expire. If it does not, holders of the Warrants will have no economic incentive to exercise their Warrants, the Warrants will expire worthless and those holders will lose the entire value of their investment in the Warrants. We may receive up to an aggregate of approximately $148 million from the exercise of the Warrants, assuming the exercise in full of all of the Warrants for cash, and we expect to use any net proceeds we receive from the exercise of the Warrants for general corporate purposes. To the extent that Warrants are exercised on a cashless basis, the amount of cash we would receive from the exercise of the Warrants will decrease, potentially to zero. Accordingly, we may not receive any cash proceeds from our outstanding Warrants, and we do not expect to rely on the exercise of the Warrants as a source of funding. If we require additional capital, we may be unable to obtain it on acceptable terms or at all. See “Use of Proceeds” and “Description of Capital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an effective registration statement or a current prospectus available for the shares of Common Stock issuable upon exercise of the Warrants, in which case the Warrants may be exercisable only on a cashless basis or may not be exercisable at all, and may expire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shares of Common Stock upon the exercise of a Warrant, and we have no obligation to settle a Warrant exercise, unless a registration statement under the Securities Act with respect to the shares of Common Stock underlying the Warrants is then effective and a current prospectus relating to those shares is available. We have registered the offering of the shares of Common Stock issuable upon exercise of the Warrants on a Registration Statement on Form S-1 (File No. 333-292590) that was declared effective on January 20, 2026, and supplemented as recently as August 19, 2026, and we have filed a Post-Effective Amendment to the Registration Statement, of which this prospectus forms a part, to include the information contained in the Company’s Annual Report on Form 10-K for the fiscal year ended December 31, 2025, filed with the SEC on February 18, 2026, including the audited consolidated financial statements contained therein, the information contained in the Company’s Quarterly Reports on Form 10-Q for the quarterly periods ended March 31, 2026 and June 30, 2026, filed with the SEC on May 14, 2026 and August 13, 2026, including the unaudited condensed consolidated financial statements contained therein, and other material developments since the date of the prospectus dated January 23, 2026, and to update certain other information in the Registration Statement. We have agreed to use our commercially reasonable efforts to maintain a current prospectus relating to those shares until the expiration of the Public Warrants. We may not be able to do so, and we may be required to suspend the use of the prospectus from time to time. In addition, no Warrant will be exercisable, and we will not be obligated to issue shares of Common Stock upon exercise of a Warrant, unless the shares of Common Stock issuable upon such exercise have been registered, qualified or deemed to be exempt under the securities laws of the state of residence of the registered holder. If these conditions are not satisfied, the holder of a Warrant will not be entitled to exercise that Warrant, and the Warrant may have no value and expire worthless. In no event will we be required to net cash settle any Warrant. Holders of Warrants therefore bear the risk that their Warrants expire worthless notwithstanding any increase in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resale of a substantial number of shares of our Common Stock by our affiliates, or the perception that these sales could occur, may cause the market price of our Common Stock to decline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up to 21,559,237 shares of our Common Stock by the Selling Securityholders, representing approximately 27% of our outstanding Common Stock, and approximately 35% of our shares held by non-affiliates as of September 30, 2026. 11,262,500 of these shares are held by our directors, executive officers, and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registered for resale is substantial relative to the historical trading volume of our Common Stock. During the three months ended June 30, 2026, the average daily trading volume of our Common Stock was approximately 1.2 million shares. Accordingly, even sales representing a small percentage of the registered shares could exceed ordinary trading volume and result in a significant decline in the market price of our Common Stock. Sales may also occur in concentrated periods, including immediately following effectiveness of the registration statement, the expiration or waiver of lock-up restrictions, or the release of our financial results, which may amplify volatility. We cannot predict the timing, size, or manner of any sales by the Selling Securityholders, and the Selling Securityholders are under no obligation to inform us of their intentions in advance of a sale.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AI-Strategy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AI-powered financial products and services is at an early stage and exposes us to technology, operational, and execution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we added strategies relating to the use of AI and automation to support the development and delivery of financial products and services, while maintaining our Bitcoin treasury strategy and de-emphasizing our advertising and media operations. In April 2026, we launched Silvia Insights, an AI-based research platform intended to deliver research to independent investors, and we completed our acquisition of CFO Silvia. CFO Silvia has developed a consumer-facing AI platform that aggregates and organizes financial data to provide users with automated financial education, tracking, and analytical tools, and that connects to financial account integrations, including brokerage accounts, retirement accounts, cryptocurrency wallets, real estate valuation services, and alternative investment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strategy are at an early stage of development. CFO Silvia has limited historical operations, and we have not yet generated material revenue from AI-powered products or services. The development, launch, and commercialization of these offerings will require significant additional investment in technology, talent, and infrastructure, and we may be unable to develop, commercialize, or scale them successfully, which could impair or delay our AI strategy. In addition, although CFO Silvia performs extensive internal testing on its products and features, it has a limited frame of reference by which to evaluate their long-term quality, reliability, durability, and performance characteristics, including exposure to or consequence of external attacks, and latent defects may exist that it is unable to detect or remedy before release. Efforts to remedy defects may not be timely, may hamper production, or may not completely satisfy users. If we are unable to manage this expansion successfully, our business, financial condition, and the market price of our Common Stock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AI models on which our business depends may produce inaccurate, biased, or harmful outputs, which could expose us to reputational harm, regulatory action,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services rely on large language models, generative AI systems, and other machine learning technologies, including third-party foundation models licensed from external providers, that are probabilistic in nature and may generate outputs that are factually incorrect, misleading, offensive, or otherwise harmful. These outputs, sometimes referred to as “hallucinations,” are an inherent limitation of current AI architectures, and our mitigation efforts, including human review and oversight processes, may not be sufficient to prevent them. If our AI systems produce inaccurate outputs that users rely on in financial or other consequential contexts, it could lead us or our customers to make decisions that could bias certain individuals or classes of individuals, and we could face liability exposure, regulatory enforcement actions, loss of user trust, and material damage to our brand and reputation. The probabilistic nature of these systems means that similar inputs may produce materially different outputs at different times, making comprehensive quality assurance and testing inherently difficult. We may also be unable to fully explain or audit how our AI models produce particular outputs, which may create challenges in complying with regulatory requirements relating to algorithmic transparency and explainability. Improvements to our models may not eliminate these risks, and as our products are deployed in increasingly consequential contexts, the potential severity of harm from erroneous outputs increases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computing infrastructure and on access to large quantities of high-quality data, and rapid technological change could render our AI technology obsolete or uncompetitive.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and operating AI models require access to substantial and specialized computational resources, including high-performance graphics processing units and large-scale data center capacity. The global supply of these resources is constrained, and we depend on a limited number of suppliers for critical hardware components and on cloud infrastructure providers for a significant portion of our computing needs. We also rely on third-party providers of foundation models and large language models to power certain features of our AI products, and we have limited control over the development, pricing, availability, or performance of those models. Any disruption to the supply chain for AI-specialized chips, whether due to geopolitical tensions, export controls, manufacturing constraints, natural disasters, or supplier-specific issues, and any disruption to those cloud services or foundation model application programming interfaces (“</w:t>
      </w:r>
      <w:r>
        <w:rPr>
          <w:rFonts w:ascii="Times New Roman;Times;Serif" w:hAnsi="Times New Roman;Times;Serif"/>
          <w:b w:val="false"/>
          <w:i w:val="false"/>
          <w:caps w:val="false"/>
          <w:smallCaps w:val="false"/>
          <w:sz w:val="20"/>
          <w:u w:val="single"/>
        </w:rPr>
        <w:t>APIs</w:t>
      </w:r>
      <w:r>
        <w:rPr>
          <w:rFonts w:ascii="Times New Roman;Times;Serif" w:hAnsi="Times New Roman;Times;Serif"/>
          <w:b w:val="false"/>
          <w:i w:val="false"/>
          <w:caps w:val="false"/>
          <w:smallCaps w:val="false"/>
          <w:sz w:val="20"/>
        </w:rPr>
        <w:t>”), adverse change to their pricing or terms, termination or non-renewal of license agreements, or decision by those providers to prioritize their own competing AI offerings, could impair our ability to develop and operate our AI products or increase our costs. The cost of compute has risen substantially and may continue to increase as competition for scarce resources intensifies.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AI models also depends on the quantity, quality, and diversity of the data used by us and our third-party service providers to train them, and on our continued access to financial account data through third-party integrations. We face increasing legal, regulatory, and contractual restrictions on the data available for AI training. Copyright holders, content publishers, and data providers have asserted that the use of their content for AI training constitutes infringement, and multiple lawsuits are pending against AI companies alleging copyright infringement in connection with AI training data. Litigation regarding the applicability of fair use and similar doctrines to AI training data remains unresolved, and website operators and content platforms have implemented technical measures to prevent AI companies from accessing their content. If we or our third-party model providers are found to have infringed third-party intellectual property rights in connection with AI training, or if we are unable to obtain sufficient high-quality data, or if legal developments require us to obtain licenses for data previously used without explicit authorization, our ability to develop competitive AI products could be significantly impaired, and we could face substantial retroactive licensing costs, litigation exposure, or claims for damages or injunctive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AI industry is characterized by rapid and disruptive technological change, evolving industry standards, frequent new product introductions, and short product life cycles. Breakthroughs in AI architectures, training methodologies, or inference optimization could fundamentally alter the competitive landscape in ways that are difficult to predict, and competitors or new market entrants may develop technologies that are superior to, or more cost-effective than, ours, or that render our approach technically obsolete. The transition from one generation of AI technology to the next may require substantial capital investment with no assurance of adequate returns. If we fail to keep pace with technological advances or misallocate resources toward technologies that do not gain market acceptance, our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proprietary technology and intellectual property, and we face risks of infringement claims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proprietary AI models, training methodologies, datasets, software, and other intellectual property. We rely on a combination of trade secret, copyright, patent, and trademark law, as well as contractual restrictions, to protect those rights. The legal protections available for AI-related innovations, including the patentability of AI-generated inventions and the copyrightability of AI model outputs, remain uncertain and are evolving. Courts and the U.S. Copyright Office have indicated that works generated solely by AI without human authorship may not be eligible for copyright protection, which could limit our ability to protect certain AI-generated outputs. Our trade secrets, including model weights, training methods, and proprietary techniques, could be independently discovered, reverse-engineered, or misappropriated by competitors or former employees. We also face the risk that third parties, including competitors with extensive patent portfolios, will assert intellectual property claims against us. The AI industry has seen a significant increase in patent assertion activity, and we may be required to obtain licenses, modify our technology, or cease certain activities in response to infringement claims, any of which could be costly and disruptive. In addition, if the outputs of our AI systems are found to infringe third-party copyrights, trademarks, or other intellectual property rights, we could face claims from content owners or be required to implement filtering or other measures that could impair our products’ functionality.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environment for AI is rapidly evolving and uncertain, and new laws and regulations could restrict our operations, increase our costs, or expose us to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worldwide are developing and implementing regulatory frameworks for AI, and the pace and scope of regulatory activity has accelerated significantly. The European Union’s Artificial Intelligence Act (the “</w:t>
      </w:r>
      <w:r>
        <w:rPr>
          <w:rFonts w:ascii="Times New Roman;Times;Serif" w:hAnsi="Times New Roman;Times;Serif"/>
          <w:b w:val="false"/>
          <w:i w:val="false"/>
          <w:caps w:val="false"/>
          <w:smallCaps w:val="false"/>
          <w:sz w:val="20"/>
          <w:u w:val="single"/>
        </w:rPr>
        <w:t>AI Act</w:t>
      </w:r>
      <w:r>
        <w:rPr>
          <w:rFonts w:ascii="Times New Roman;Times;Serif" w:hAnsi="Times New Roman;Times;Serif"/>
          <w:b w:val="false"/>
          <w:i w:val="false"/>
          <w:caps w:val="false"/>
          <w:smallCaps w:val="false"/>
          <w:sz w:val="20"/>
        </w:rPr>
        <w:t>”) - the world’s first comprehensive AI law - entered into force on August 1, 2024, with most of its provisions applying from August 2, 2026. The AI Act imposes risk-based compliance obligations on providers and deployers of high-risk AI systems, including obligations relating to data quality, transparency, human oversight, and record-keeping requirements, and may require modifications to our products, development processes, and operational practices. Certain provisions of the AI Act relating to prohibited AI practices and general-purpose AI models have earlier or phased application dates, and our use of third-party foundation models may subject us to additional compliance obligations under the AI Act even where we are not the developer of those models. In the United States, a patchwork of federal executive orders, agency guidance, and state legislation creates a complex and potentially inconsistent regulatory landscape, and other jurisdictions are pursuing their own regulatory approaches. These regimes may impose requirements relating to algorithmic transparency, bias testing and auditing, impact assessments, data governance, human oversight, and content labeling that are technically difficult or commercially impractical to satisfy. The cost of compliance across multiple jurisdictions is substantial and growing, and non-compliance could result in significant fines, operational restrictions, or reputational harm.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become subject to regulatory action under existing consumer protection, anti-discrimination, privacy, fair lending, or sector-specific laws that are applied to AI technologies in novel or unexpected ways. State attorneys general and the Federal Trade Commission have brought enforcement actions against companies for allegedly unfair or deceptive practices in connection with AI products, including claims relating to the accuracy of AI outputs and the adequacy of disclosures to consumers. The CFO Silvia platform is designed to provide informational, educational, and analytical tools and is not intended to provide personalized investment advice within the meaning of the Investment Advisers Act of 1940, as amended (the “</w:t>
      </w:r>
      <w:r>
        <w:rPr>
          <w:rFonts w:ascii="Times New Roman;Times;Serif" w:hAnsi="Times New Roman;Times;Serif"/>
          <w:b w:val="false"/>
          <w:i w:val="false"/>
          <w:caps w:val="false"/>
          <w:smallCaps w:val="false"/>
          <w:sz w:val="20"/>
          <w:u w:val="single"/>
        </w:rPr>
        <w:t>Advisers Act</w:t>
      </w:r>
      <w:r>
        <w:rPr>
          <w:rFonts w:ascii="Times New Roman;Times;Serif" w:hAnsi="Times New Roman;Times;Serif"/>
          <w:b w:val="false"/>
          <w:i w:val="false"/>
          <w:caps w:val="false"/>
          <w:smallCaps w:val="false"/>
          <w:sz w:val="20"/>
        </w:rPr>
        <w:t>”), or to serve as a registered investment adviser. However, the platform’s conversational AI features, which generate responses tailored to individual users’ financial information and questions, could be characterized by regulators as providing individualized advice or recommendations. If the SEC or a state regulator were to disagree with our characterization, we could become subject to registration, examination, disclosure, and compliance obligations that would be costly, could require changes to the platform’s functionality, and could expose us to enforcement action for having operated without proper registration. Our business is also subject to export controls and trade restrictions that may limit our ability to deploy AI products and services in certain jurisdictions or to access certain technologies and components, and violations could result in significant civil and criminal penalties. The uncertainty surrounding future regulation makes it difficult for us to plan our business and could deter potential users from adopting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collect and process substantial amounts of personal and financial data, and privacy, data protection, and cybersecurity failures could expose us to liability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process, store, and use substantial amounts of data, including personal data and sensitive financial information, in connection with the operation of our AI-powered systems and services. The CFO Silvia platform connects to users’ brokerage, retirement, cryptocurrency wallet, real estate valuation, and alternative investment accounts, and the aggregation of that information increases the potential consequences of any security incident or misuse. Our AI models may also process personal data during training, fine-tuning, or inference, and the lawfulness of such processing under applicable data protection laws is subject to ongoing regulatory scrutiny and uncertainty. We are subject to a broad and evolving array of data privacy and protection laws and regulations, including the General Data Protection Regulation in the European Union, the California Consumer Privacy Act, as amended by the California Privacy Rights Act, the Gramm-Leach-Bliley Act and its implementing regulations, and numerous other federal, state, and international privacy laws. These laws impose complex obligations regarding data collection, use, storage, transfer, and deletion, and provide individuals with various rights regarding their personal data, including rights that may be difficult to satisfy in the context of AI model training. Data protection authorities have initiated investigations into AI companies regarding the lawfulness of processing personal data for model training, and we could face enforcement actions, fines, or orders to cease processing that could materially disrupt our operations. The interaction between AI-specific regulations and general privacy frameworks remains uncertain and could create compliance gaps or conflicting requirements, and cross-border data transfer restrictions add further complexity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bad actors use increasingly sophisticated methods, including the use of AI, to engage in illegal activities involving the theft and misuse of personal information, confidential information, and intellectual property, and the use of AI technology can itself give rise to security risks to our confidential and proprietary information. A security incident affecting our systems, the CFO Silvia platform, or the third-party providers on which we or that platform rely could result in the loss, unauthorized disclosure, or misuse of user data and account credentials. Any of these events could damage our reputation, result in the loss of valuable property and information, cause us to breach applicable laws and regulations, subject us to litigation and regulatory proceedings, and adversely affect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our acquisition of CFO Silvia, Inc., and the integration of that business may be more costly or take longer than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significant benefits may be realized from our acquisition of CFO Silvia, Inc., which we completed on April 6, 2026. Realizing those benefits will be a complex process, however, and may disrupt our existing operations if it is not implemented in a timely and efficient manner. The full benefits of the acquisition may not be realized as we expect, may not be achieved within the anticipated time frame, or may not be achieved at all, and any failure to achieve those benefits could adversely affect our business, operating results or financial condition and cause the combined business not to perform as expected. Among other matters, we must address the following in order to realize the anticipated benefits of the acquisition: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certain of the companies’ financial, reporting and corporate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the companies’ administrative and information technology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the finance and accounting infrastructure and personnel of CFO Silvia, Inc., including SEC reporting capabilities and technical accounting, tax, internal audit and compliance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maintaining the internal control over financial reporting and the disclosure controls and procedures required of a public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continued compliance with the Nasdaq Listing Rules, including Nasdaq’s corporate governance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and operation of CFO Silvia may be difficult and may impose significant demands on our management and our administrative and financial resources. Integration risks include implementing consistent operating standards; consolidating systems, procedures and vendors; integrating management and personnel; retaining key employees; maintaining employee morale; adapting marketing strategies; and establishing or enhancing financial reporting systems and internal control over financial reporting. As described above, we have identified a material weakness in our internal control over financial reporting, which may increase the difficulty of integrating the acquired business into our financial reporting processes. We also depend on the continued service of the personnel of the acquired business, including Shain Noor, our Chief Technology Officer. If we are unable to integrate, operate or improve CFO Silvia effectively, or if we are unable to retain its key personnel, our business, results of operations and cash flows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was no public market for the capital stock of CFO Silvia, Inc., the value of the shares of Common Stock that we issued in that acquisition may be more or less than the fair market value of the capital stock we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stock of CFO Silvia was privately held and was not traded in any public market, which made it difficult to determine its fair market value. Because the percentage of our equity issued to the stockholders of CFO Silvia was determined on the basis of negotiations between the parties, it is possible that the value of the shares of Common Stock we issued in the acquisition was more or less than the fair market value of the capital stock we acquired.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for our acquisition of CFO Silvia is preliminary and remains subject to measurement-period adjustments, and the final accounting for that acquisition may differ from the preliminary amounts we have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CFO Silvia are included in our consolidated financial statements beginning on the April 6, 2026 acquisition date, and we incurred approximately $1.4 million of expenses directly related to the acquisition during the six months ended June 30, 2026. As of June 30, 2026, we had recorded a preliminary purchase price allocation reflecting total consideration of $23.3 million, identifiable intangible assets of $15.3 million and goodwill of $12.7 million. That purchase price allocation is preliminary and remains subject to measurement-period adjustments relating to the finalization of certain income tax matters and the valuation of the assets acquired and the liabilities assumed, and any such adjustments may be recorded during the measurement period, which will not exceed one year from the acquisition date. Accordingly, the amounts that we ultimately record, including the allocation of the consideration among the assets acquired and the liabilities assumed and the amounts of goodwill and other intangible assets, may differ from the preliminary amounts. To the extent that we record goodwill or other intangible assets in connection with the acquisition, those assets would be subject to periodic impairment testing, and any resulting impairment charge could adversely affect our reported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we attempt to remedy any issues we observe in our products as effectively and rapidly as possible, such efforts may not be timely, may hamper production or may not completely satisfy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performed, and will continue to perform, extensive internal testing on our products and features; however, like the rest of the industry, we currently have a limited frame of reference by which to evaluate certain aspects of our long-term quality, reliability, durability and performance characteristics, including exposure to or consequence of external attacks. While we attempt to identify and address or remedy defects we identify during the pre-production and sale phases, there may be latent defects that we may be unable to detect or control for our products, and thereby address, prior to its sale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asset management is a new initiative. The Investment Manager’s registration as an investment adviser with the SEC may be delayed or may not become effective, the Initial Fund may not raise capital, operate or perform as anticipated, and additional private funds, special purpose vehicles and the proposed Silvia ETFs may not launch or operate as anticipated, which could materially and adversely affect our business, financial condition,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the asset management business is a new initiative. The Investment Manager serves as investment adviser to the Initial Fund, our initial asset-management product. The Investment Manager may also serve as investment adviser to additional private funds and to special purpose vehicles, alternative investment vehicles, co-investment vehicles and similar vehicles (“</w:t>
      </w:r>
      <w:r>
        <w:rPr>
          <w:rFonts w:ascii="Times New Roman;Times;Serif" w:hAnsi="Times New Roman;Times;Serif"/>
          <w:b w:val="false"/>
          <w:i w:val="false"/>
          <w:caps w:val="false"/>
          <w:smallCaps w:val="false"/>
          <w:sz w:val="20"/>
          <w:u w:val="single"/>
        </w:rPr>
        <w:t>SPVs</w:t>
      </w:r>
      <w:r>
        <w:rPr>
          <w:rFonts w:ascii="Times New Roman;Times;Serif" w:hAnsi="Times New Roman;Times;Serif"/>
          <w:b w:val="false"/>
          <w:i w:val="false"/>
          <w:caps w:val="false"/>
          <w:smallCaps w:val="false"/>
          <w:sz w:val="20"/>
        </w:rPr>
        <w:t>”) that we or our subsidiaries sponsor, advise or manage (the Initial Fund, together with any such other private funds and SPVs,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the term “Funds” does not include the Silvia ETFs). The Investment Manager is also proposed to serve as investment sub-adviser to five proposed actively managed exchange-traded funds described under “Risks Related to Our Expansion into Exchange-Traded Funds” below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Silvia Innovation Fund I GP, LLC, the general partner of the Initial Fund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is also our wholly-owned subsidiary and is a legal entity separate from the Investment Manager. We, the Investment Manager and the General Partner have a limited operating history forming, marketing, managing and administering private funds, SPVs and other investment products, and no operating history providing sub-advisory services to registered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currently relies on exemptions from registration as an investment adviser under applicable federal and state law in connection with its private fund advisory activities, including its advisory services to the Initial Fund. An investment adviser or sub-adviser to a registered investment company, however, generally must be registered with the SEC under the Advisers Act, and may not rely on those exemptions. On September 17, 2026, the Investment Manager filed Parts 1 and 2A of Form ADV with the SEC to register as an investment adviser under the Advisers Act, but its registration has not yet become effective, and there can be no assurance that its registration will become effective on the anticipated timeline or at all. The SEC may request additional information or changes to the Investment Manager’s disclosures, policies, procedures, personnel or operations, or may institute proceedings to determine whether registration should be denied, and the Investment Manager may experience other regulatory, operational or compliance delays in completing the registration process. Any delay in, or failure to obtain, registration could delay or prevent the Investment Manager from serving as sub-adviser to the Silvia ETFs and the launch of one or more Silvia ETFs, limit the Investment Manager’s ability to expand its advisory activities beyond those permitted by the exemptions on which it currently relies, prevent us from earning anticipated sub-advisory fees, require changes to our proposed products or contractual arrangements or cause us to incur additional costs. Registration with the SEC would not constitute approval or endorsement by the SEC of the Investment Manager, its qualifications or any investment product it advises, and would not ensure that the Initial Fund will raise sufficient capital, operate or perform as anticipated or that any additional private fund, SPV or Silvia ETF will launch, raise sufficient capital, achieve its investment objectives or be commercially successful.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activities are subject to extensive regulation and compliance requirements that could increase our costs, require changes to our business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under the Advisers Act applies at the adviser level and, once effective, generally will govern the Investment Manager’s advisory business as a whole, not only its activities as sub-adviser to the Silvia ETFs. Upon registration, the Investment Manager’s advisory activities with respect to the Initial Fund, any other private funds, any SPVs and the Silvia ETFs will be subject to the Advisers Act and to SEC examination authority, and compliance with these requirements with respect to our existing private fund business may require changes to our existing marketing materials, valuation practices, expense allocation practices and Fund documentation. The Investment Manager’s registration will not relieve the Funds of the need to satisfy the separate exemptions on which they rely, as described below, or relieve the Silvia ETFs of the separate requirements applicable to registered investment companies. The General Partner is not currently registered as an investment adviser with the SEC and may become registered in the future, in its discretion or if required by applicable law, and there can be no assurance that any exemption on which it relies will remain available. Growth in regulatory assets under management, changes in the activities of the Investment Manager or the General Partner, or changes in applicable law could require registration or subject the asset management business to additional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investment adviser, the Investment Manager currently owes fiduciary duties to its advisory clients and is subject to the anti-fraud provisions of the Advisers Act. Upon registration, the Investment Manager will become subject to additional requirements applicable to SEC-registered investment advisers and to SEC examination authority. These current and future regulatory requirements, together with those applicable to the General Partner, may expose us, through our ownership of them, to compliance costs, liabilities and reputational risks, including requirements relating to, among other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compliance policies and procedures under Rule 206(4)-7 under the Advisers Act, including the designation of a chief compliance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Marketing, advertising and presentation of investment performance, including under Rule 206(4)-1 under the Advisers Act;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Books and records and regulatory reporting;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Custody and safeguarding of assets;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Valuation of investments;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 of investments, co-investments, fees and expenses;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involving affiliates;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Codes of ethics, personal trading and political contributions;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Receipt and use of material nonpublic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Anti-money-laundering, sanctions and investor-identification controls, including requirements that may become applicable under future regulations;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cybersecurity and protection of confidential investor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Pay-to-play restrictions;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 benefit plan and Employee Retirement Income Security Act of 1974, as amended matters;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Disclosure and management of conflicts of interest.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requirements will require significant expenditures, additional personnel and substantial management attention, and the applicable regulatory framework may change or be interpreted by regulators differently from us. The launch of additional Funds or other products with different structures, investment strategies or investor bases could further increase the complexity and cost of the compliance program.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that investment advisory services will be provided through the Investment Manager. Our consumer platform does not provide personalized investment advice within the meaning of the Advisers Act and is not intended to serve as a registered investment adviser. However, whether a person is acting as an investment adviser depends on the relevant facts and circumstances. Changes to the functionality of our consumer platform, the manner in which investment-related information is presented through it, its integration with the Investment Manager or the Funds, or the nature and size of our other activities could cause the SEC or another regulator to conclude that we or one or more of our other subsidiaries are acting as an investment adviser or are otherwise subject to investment-adviser or other regulation. Such a determination could require additional registrations, compliance infrastructure or changes to our consumer platform or other business activities and could expose us to examinations, investigations, enforcement proceedings or other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satisfy applicable exemptions or to comply with the requirements governing our advisory activities could expose us and the Funds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is being offered in a transaction exempt from registration in reliance on Section 4(a)(2) and Regulation D of the Securities Act of 1933, as amended, and relies on the exemption from registration provided by Section 3(c)(1) of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and other private funds and SPVs may rely on the same or similar exemptions, although their offering terms, investor eligibility requirements and applicable exclusions may differ. The availability of these exemptions depends on compliance with numerous conditions, including applicable investor-eligibility requirements, which may differ by vehicle and exemption, as well as restrictions relating to the manner of offering Fund interests, the number and nature of investors, transfers of Fund interests and the activities of the Funds and their affiliates. A failure to satisfy the conditions of an applicable exemption could require an affected Fund to register, restructure or discontinue its activities and could result in investor rescission rights, regulatory action, litigation and other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subsidiaries, the Investment Manager, the General Partner, and their respective directors, officers and employees could be subject to liability for errors of judgment, mistakes of law, breaches of fiduciary duty or other acts or omissions in connection with the management of the Funds or the provision of sub-advisory services to the Silvia ETFs. A failure to comply with applicable law, regulation, Fund documents or the terms of a sub-advisory agreement could result in regulatory examinations or investigations, investor or client claims, litigation, fines, censures, disgorgement, limitations on activities, suspension or revocation of the Investment Manager’s registration or other registrations, disqualification from managing assets for certain investors, termination of advisory or sub-advisory relationships and reputational harm. Any of these consequences could materially and adversely affect our business and our ability to raise and manage investor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potential or perceived conflicts of interest could adversely affect the Funds, the Silvia ETFs, their investors, our business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activities will create actual, potential and perceived conflicts among us and our subsidiaries, including the Investment Manager and the General Partner, our and their respective directors, officers and employees, the Funds, the Silvia ETFs, other investment vehicles and accounts, portfolio companies, co-investors, Fund investors, Silvia ETF shareholders and our public stockholders. In particular, Anthony Pompliano serves as our Chief Executive Officer and Chairman and is identified in the Initial Fund’s offering materials as the Chairman and Chief Executive Officer of the General Partner, the portfolio manager of the Investment Manager, and the Initial Fund’s key person, and he is expected to serve as a portfolio manager of the Silvia ETFs. Other personnel may likewise have overlapping positions, responsibilities or economic interests and may be required to allocate their time and attention among our existing business, the Funds, the Silvia ETFs and other affiliated activities.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may arise in connection with, among other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investment and co-investment opportunities among the Funds, the Silvia ETFs, other accounts and our corporate treasury activities;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personnel, time and other resources;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due-diligence, broken-deal, legal, compliance and other expenses;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among Funds, affiliated entities and portfolio companies;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provided by us or our affiliates to Funds or portfolio companies, and the fees received for those services;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Differences in management fees, sub-advisory fees, carried interest and other economic arrangements among the Funds and the Silvia ETFs;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Side letters and preferential rights granted to particular investors;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investments;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and terms of investment purchases, sales and distributions;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Continuation vehicles and other transactions that extend an investment’s holding period;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Personal investments made by our personnel or their affiliates;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receipt, sharing or use of material nonpublic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 commentary by our personnel regarding markets, digital assets or issuers in which we, a Fund or a Silvia ETF has or may acquire an interest;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funding and subsequent return of General Partner or Company capital;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responsibilities to public stockholders as compared with the fiduciary or contractual duties owed by the Investment Manager or the General Partner to the Funds, the Silvia ETFs and their investors.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fee structures and performance-based compensation arrangements may create an incentive to allocate opportunities to Funds or accounts that generate greater fees or carried interest. Carried interest may also create an incentive to cause a Fund to make investments with a higher risk of loss, dispose of investments at a particular time or hold investments for longer than would otherwise be the case. Conversely, investments made with capital provided by us may create incentives that differ from those relating to investments made primarily with third-party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and the General Partner may establish policies, procedures, information barriers and governance processes designed to identify and mitigate conflicts of interest, and we may seek review by independent directors, advisory committees or other bodies where appropriate. These measures may not identify or adequately address every conflict, and conflicts may not be resolved in favor of us, our public stockholders, a particular Fund or Silvia ETF or its investors. The duties of our directors and officers to us and our stockholders may differ from, and may conflict with, the fiduciary or contractual duties that the Investment Manager and the General Partner owe to the Funds, the Silvia ETFs and their investors. Actual or perceived failures to manage conflicts appropriately could result in investor dissatisfaction, loss of investor capital, investor outflows or redemptions, adverse publicity, litigation, regulatory investigations or enforcement actions, impair the ability to raise future Funds and damage our reputation. Conflicts relating to the license arrangement with a publisher in which our Chief Executive Officer holds an ownership interest are described under “Risks Related to Our Expansion into Exchange-Traded Funds” below.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Chief Executive Officer’s media activities and overlapping Bitcoin-related exposures could create conflicts of interest and expose us to regulatory and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regularly makes public statements about markets, digital assets and individual companies through media channels, and we, the Funds or one or more Silvia ETFs may hold, purchase or sell securities of companies that are the subject of those statements. An investment adviser that publicly recommends a security in which it or its clients hold a position, or in which it intends to transact, without adequate disclosure may violate the anti-fraud provisions of the Advisers Act. Coordinating the timing and content of our Chief Executive Officer’s public commentary with the trading activity of the Silvia ETFs, the Funds and our own treasury operations will require policies, information barriers and pre-clearance procedures that we have not previously been required to maintain. Any failure of those procedures, or any allegation that our Chief Executive Officer’s commentary was used to influence the price of a security held by a Silvia ETF, by a Fund or by us, could result in SEC enforcement action, private litigation, termination of advisory or sub-advisory agreements and substantial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hold Bitcoin as a treasury reserve asset, the Investment Manager advises the Funds, and the Investment Manager expects to provide sub-advisory services to Silvia ETFs that may invest in Bitcoin-related equities, including other Bitcoin treasury companies. Investment Company Act restrictions may prohibit one or more Silvia ETFs, including any Silvia ETF that invests in Bitcoin treasury companies, from investing in our securities or securities of certain other entities affiliated with us or the Investment Manager, including other Bitcoin treasury companies that are affiliated with us. As a result, such securities may be excluded from the applicable Silvia ETF’s investment universe even if they otherwise satisfy its investment criteria, causing its portfolio to differ from the portfolio that its stated methodology would otherwise produce. Notwithstanding those restrictions, our corporate treasury activities, the Funds and the Silvia ETFs may transact in the same or related issuers, instruments or Bitcoin-related exposures, creating conflicts relating to the allocation of investment opportunities, the timing of transactions and the use and control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asset management business depends on our ability to raise sufficient third-party capital in a highly competitive market and to generate competitive investment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 asset management platform requires specialized investment, legal, regulatory, compliance, accounting, valuation, tax, investor-relations, information-technology and administrative expertise and capabilities that we may not currently possess or may be unable to develop, acquire or scale effectively, and developing the business may require significant expenditures and management attention before it generates meaningful revenue, diverting resources from our existing operations and increasing our fixed cost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management fees and performance-based compensation will depend substantially on the ability of the Investment Manager and the General Partner to raise capital commitments from third-party investors for the Initial Fund and any successor funds or other investment products. Fundraising is subject to numerous factors outside our control, including general economic and financial-market conditions, interest rates, investor liquidity and asset-allocation decisions, the availability of distributions from investors’ existing private-market investments, investment performance and track record, the reputation and continued service of the relevant investment professionals, regulatory developments and the terms offered by competing investment products. The Initial Fund may not reach its target size, and its pool of eligible investors is limited by the private-offering and Investment Company Act exemptions on which it relies, which restrict participation to investors that satisfy specified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industry is highly competitive. We and the Funds compete with established alternative asset managers, traditional asset managers, private equity and venture capital firms, financial institutions, family offices, corporate investors and other sponsors, many of which have longer operating histories, established investment records, broader distribution networks, greater resources, more developed compliance and operating infrastructure and stronger investor relationships, and some of which offer lower fees, greater liquidity, more favorable investment terms or broader co-investment opportunities.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attract investors, the Investment Manager or the General Partner may reduce or waive management fees, reimburse or bear Fund expenses, provide preferential rights through side letters, offer co-investment opportunities or otherwise agree to terms that reduce the revenues or profitability of our asset management business. In addition, management fees from closed-end Funds may decline following the expiration of their investment periods or as invested capital is realized. The ability to maintain or grow management-fee revenue may therefore depend on the ability to raise successor Funds or other investment products before fees from existing Funds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raise sufficient fee-paying capital could reduce management fees, limit the ability to deploy capital and earn carried interest or other performance-based compensation, impair the ability to raise future Funds and leave our asset management business with an operating cost base that is disproportionate to its size. In addition, if limited partners default on or delay funding their capital commitments, a Fund’s ability to deploy capital could be impaired, and such Fund may seek to borrow or obtain other financing or we may elect or agree to provide the support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structure of our management fees and performance-based compensation could cause our asset management results to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revenues and other economic returns generated by our asset management business will depend on the amount of fee-paying capital or assets under management, the applicable fee rates, the investment performance of the Funds and the timing and amount of investment realizations. For the Initial Fund, management fees are payable to the Investment Manager and are based on each limited partner’s capital commitment during the Fund’s investment period and on invested capital thereafter, and carried interest is payable to the General Partner. The Company does not receive any management fees or carried interest directly; those economics are earned by the Investment Manager and the General Partner, respectively. Other current or future products may calculate fees on a different basis. Accordingly, increases or decreases in total capital commitments may not result in proportionate changes in management-fee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Carried interest, incentive fees, and other performance-based compensation generally depend on a Fund achieving specified investment returns or distribution thresholds. Because the Initial Fund has a long-term, multi-year investment period, any carried interest is long-dated and depends on the timing and amount of investment realizations; such compensation may not be earned for many years, may be concentrated in a limited number of periods and may vary materially. Newly formed Funds may generate little or no performance-based compensation while they deploy capital, and there can be no assurance that any Fund will generate returns sufficient for the General Partner to earn carried interest or for us to realize the related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investment performance could reduce the value of fee-paying assets, delay or eliminate performance-based compensation, cause investors to decline to invest in future Funds and result in demands for fee concessions, while personnel, compliance, technology, insurance and other operating expenses of the asset management business may continue regardless of investment performance or the amount of capital raised.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may be required to return previously distributed carried interest pursuant to a fund-level clawback provision, the amount of which may be affected by investment losses, the timing of realizations, prior distributions, tax payments and the terms of the applicable Fund documents. Because the General Partner is our wholly-owned subsidiary, any such clawback or other repayment obligation would reduce amounts otherwise available to us and could adversely affect our liquidity and results of operations. As a result of these factors, the revenues and earnings generated by our asset management business may be volatile, difficult to predict and uneven from period to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expects to invest primarily in technology-sector companies and assets, many of which may be private and illiquid. Its areas of focus may include artificial intelligence, defense technology, hardware, health technology, software and other technology-related solutions, although the Initial Fund has broad flexibility as to geography, strategy and asset class. A primary focus on private technology investments may heighten the volatility of the Initial Fund’s performance and increase valuation, exit and fundraising risk, because such investments are often illiquid, may take years to mature, may be difficult to value or realize and are subject to rapid technological, competitive and regulatory change. In addition, to the extent a Fund incurs indebtedness or uses bridge financing, such leverage may magnify investment losses and increase the Fund’s liquidity demands.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we use to seed, warehouse, or support our Funds may be illiquid and expose us to losses, reduce our liquidity, and increase the complexity and volatility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which may be used to make the Initial Fund’s initial investments and the Initial Fund’s initial expenses. The SPV Fund has committed to invest in three privately-held companies for a total of $11.0 million, which will be initially funded by the Company. As of October 6, 2026, we had not earned any management fees on those investments. As third-party investors are admitted at subsequent closings, a portion of the General Partner’s funded capital is expected to be returned. To the extent the General Partner or another of our subsidiaries provides such capital, that capital represents our capital and exposes us to the risks described in this risk factor.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determine, or be perceived by investors or counterparties as having an obligation, to provide additional capital or support to a Fund beyond the General Partner’s commitment and any pre-closing seed funding, which could include acquiring or warehousing additional investments, bridging investor capital contributions, making loans, or providing guarantees, indemnities or other financial support. We are under no obligation to provide any such additional support unless we agree to do so, and the nature and extent of any such support have not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that we fund, directly or through the General Partner or another subsidiary, in or alongside the Funds may be illiquid and long-term in nature and is subject to the valuation risks described below. We may be required to hold such positions for extended periods and could lose some or all of the capital we invest. Capital used to fund the General Partner’s commitment or to seed, warehouse or otherwise support the Funds would not be available for our existing operations, debt service, acquisitions or other corporate purposes, which could adversely affect our liquidity and capital resources and may limit our ability to launch additional Funds or pursue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required to consolidate the Initial Fund or any other sponsored investment product in our financial statements depends on our economic interests in, decision-making rights over and other relationships with the relevant vehicle. These determinations are complex, require significant judgment and may change over time. If we were required to consolidate a Fund or another sponsored investment product, we could be required to recognize its assets, liabilities, revenues, expenses and noncontrolling interests, which could increase the reported size and complexity of our balance sheet and the volatility of our reported results.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Valuations of private and illiquid investments are subjective and may differ materially from the values ultimately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invest in private companies and other assets for which readily observable market prices are unavailable or unreliable. For the Initial Fund, the General Partner will determine the value of the Fund’s assets at least quarterly, and in connection with distributions, in accordance with the Fund’s valuation policies, and the General Partner’s good-faith determinations of value are generally conclusive and binding under the Fund documents. The valuation of these investments requires the application of methodologies, estimates, assumptions and judgments concerning matters such as comparable public companies and transactions, projected financial performance, discount rates, capital structures, market conditions and the probability and timing of future financing, sale or liquidity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single standard for determining the fair value of a private or illiquid investment, and different market participants may assign materially different values to the same investment. Information used in a valuation may be incomplete, inaccurate or subsequently revised. The Initial Fund does not intend to commission periodic independent appraisals of its portfolio companies. Even if an administrator, appraisal firm or other third party were engaged to assist with the valuation process, doing so would not eliminate the subjective nature of that process or assure that a reported value will ultimately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ultimately realized upon the sale or other disposition of an investment may differ materially from its previously reported value. Valuations may affect, in each case to the extent applicable:</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Reported Fund performance and net asset value;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fees and carried interest;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Allocations among investors;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accounts;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admission of investors at subsequent closings;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In-kind distributions and other transactions involving Fund assets;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seed and co-investment balances;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and results of operations.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auditors or regulators may disagree with the methodologies, assumptions or conclusions used in valuing Fund investments. Valuation errors or disputes could require adjustments to Fund financial statements, reimbursement of fees, changes to carried interest, repayment of previously distributed amounts, changes to our financial statements, litigation or regulatory action. Valuation issues could also impair investor confidence and make it more difficult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business depends on key personnel, including professionals who also support our other businesses, and the loss of key personnel could disrupt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asset management business will depend substantially on the investment judgment, industry knowledge, reputation, relationships and continued service of a limited number of senior professionals, including Mr. Pompliano, who is the Initial Fund’s key person. Investors may commit capital to a Fund in significant part because of the identity, experience and perceived capabilities of particular investment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death of Mr. Pompliano, his removal, resignation or withdrawal from specified positions with the Investment Manager or the General Partner, or his inability to perform his advisory duties for a specified period, would constitute a key person event under the Initial Fund’s documents. Upon a key person event, the Initial Fund’s investment period would be suspended, and if the requisite investors do not approve one or more replacement principals or elect to reinstate the investment period within the applicable cure period, the investment period would terminate. A suspension or termination of the investment period would reduce the Initial Fund’s ability to deploy capital and could reduce future management fees and performance-based compensation. More generally, the death, disability, departure, reduced involvement or reputational impairment of a key professional could disrupt the management of existing Funds, impair investment sourcing and decision-making, adversely affect investment performance and make it more difficult to raise additional capital.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is also expected to be responsible for the Silvia ETFs, the Funds and our corporate treasury activities. Managing registered investment companies requires daily portfolio management, trading, liquidity classification, valuation and compliance testing, and the addition of five registered portfolios will substantially increase the demands on him and our other professionals. The departure, incapacity or reduced availability of any of these professionals, or a determination by the investment adviser or board of trustees of the Silvia ETFs that our resources are insufficient to support the Silvia ETFs, could result in the termination or non-renewal of the sub-advisory agreements and could simultaneously disrupt the Funds, our corporate treasury activities and our other business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need to recruit and retain qualified investment, finance, accounting, valuation, legal, compliance, tax, operations, information-technology and investor-relations professionals, including professionals qualified to manage registered funds. Competition for experienced asset management personnel is significant, and established investment managers may be able to offer more attractive compensation, carried-interest participation or other opportunities. The loss of key personnel, an inability to recruit or retain qualified professionals, or a failure to develop and implement effective succession plans could materially and adversely affect the ability to manage the Funds and the Silvia ETFs, generate competitive investment returns, maintain investor relationships and grow our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in our systems, controls or third-party service providers could disrupt our asset management business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 asset management business involves complex operational and financial processes, including investor onboarding, capital calls, cash management, investment and expense allocations, calculation of management fees and carried interest, maintenance of investor capital accounts, portfolio valuation, compliance testing, regulatory filings, investor reporting, tax reporting and administration of side-letter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systems, internal controls, policies and personnel may not be adequate to perform or support these functions accurately, consistently and on a timely basis. These risks are heightened by the material weakness in our internal control over financial reporting disclosed in “Management’s Discussion and Analysis of Financial Condition and Results of Operations—Internal Control over Financial Reporting” in this prospectus, which relates to inadequate segregation of duties and effective risk assessment and insufficient written policies and procedures for accounting and financial reporting with respect to the requirements and application of both generally accepted accounting principles and SEC guidelines. This material weakness exists as of the date of this prospectus and has not been remediated, and our expansion into asset management would add further operational and financial-reporting complexity while this weakness persists and may complicate the buildout of the financial-reporting and compliance processes required to support the Investment Manager’s advisory business, including the proposed Silvia ETFs. Human error, inadequate segregation of duties, inaccurate or incomplete data, software defects, deficient policies, ineffective supervision, unauthorized transactions, cyber incidents or failures in communications among us and our service providers could result in:</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capital calls or distributions; </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center"/>
        <w:rPr/>
      </w:pPr>
      <w:r>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Errors in the calculation of fees or carried interest;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Inaccurate valuations, financial statements or investor reports;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Misallocation of investments, income, gains, losses or expenses;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Missed regulatory or tax filings;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Breaches of Fund documents or side letters;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disclosure of confidential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Misappropriation or loss of assets;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Violations of applicable law.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Funds expect to rely on third parties to perform significant functions for the Funds and our asset management business. These are expected to include a fund administrator engaged to provide services such as investor onboarding, calculation of management fees and carried interest, accounting, recordkeeping and tax reporting, as well as auditors, tax advisers, counsel, custodians, banks, brokers, data hosts and other providers. We may have limited ability to supervise the day-to-day operations, cybersecurity practices, personnel or financial condition of these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 provider’s operational error, system outage, cyber incident, failure to comply with law, misuse or loss of confidential information, misappropriation of assets, insolvency or termination of services could disrupt our operations, delay investor reporting or distributions, cause financial loss and expose us to investor claims or regulatory scrutiny. Alternative providers may not be available on acceptable terms or within the time required to avoid disruption. Contractual protections, indemnification rights and insurance may not fully protect us or the Funds from resulting losses, and a failure to develop and maintain systems, controls and third-party oversight commensurate with the size and complexity of our asset management business could materially and adversely affect our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events involving the Funds, the Silvia ETFs or portfolio companies may be attributed to us, and we may incur litigation and indemnification liabilities that are not covered by Fund indemnification or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Funds may use our name, personnel, relationships or other resources, and the proposed Silvia ETFs are expected to use the Silvia name, which is central to our consumer platform, adverse events involving a Fund, a Silvia ETF, a portfolio company, an affiliated asset management entity or a Silvia ETF’s investment adviser, trust or service providers may be attributed to us even where we are not legally responsible, and resulting negative publicity could spread rapidly and damage our reputation, our consumer platform and our ability to raise capital disproportionately to the financial significance of the underlying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personnel, or affiliated entities may be named in litigation, arbitration, regulatory investigations or other proceedings involving the Funds, Fund investors, portfolio companies, co-investors, service providers or counterparties. Our personnel may also serve as directors, managers or observers of portfolio companies, which could expose them and us to claims relating to the conduct or financial condition of those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be required to indemnify the Investment Manager, the General Partner and their respective personnel, and we may have separate indemnification obligations to our own directors, officers, employees or affiliates. Because the Investment Manager and the General Partner are our wholly-owned subsidiaries, liabilities incurred by them could adversely affect our financial condition and results of operations, and available Fund indemnification may be unavailable or insufficient. The Funds and their portfolio companies are separate legal entities. Defense costs, settlements, judgments, indemnification obligations and the diversion of management attention could be material to us. Available insurance may be subject to exclusions, deductibles and coverage limits and may not cover all resulting losses.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expansion into the exchange-traded fund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ETF</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 business is a new initiative, the proposed Silvia ETFs may not launch when expected, will depend on third parties that we do not control and may not attract sufficient assets or generate meaningful revenue, and our sub-advisory arrangements may be terminated on short notice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ETF Trust, filed a post-effective amendment to its registration statement on Form N-1A with the SEC (File No. 333-285633) with respect to the Silvia ETFs. The Silvia ETFs are expected to operate under a white-label structure in which the Adviser serves as investment adviser to the Silvia ETFs and the ETF Trust engages third-party service providers, including a distributor, administrator, custodian and transfer agent, none of which we control or select. The Investment Manager, in its proposed capacity as investment sub-adviser to the Silvia ETFs, is expected to provide portfolio management services to the Silvia ETFs pursuant to sub-advisory agreements with the Adviser and the ETF Trust, subject to the supervision and oversight of the Adviser and the board of trustees of the ETF Trust (the “</w:t>
      </w:r>
      <w:r>
        <w:rPr>
          <w:rFonts w:ascii="Times New Roman;Times;Serif" w:hAnsi="Times New Roman;Times;Serif"/>
          <w:b w:val="false"/>
          <w:i w:val="false"/>
          <w:caps w:val="false"/>
          <w:smallCaps w:val="false"/>
          <w:sz w:val="20"/>
          <w:u w:val="single"/>
        </w:rPr>
        <w:t>Fund Board</w:t>
      </w:r>
      <w:r>
        <w:rPr>
          <w:rFonts w:ascii="Times New Roman;Times;Serif" w:hAnsi="Times New Roman;Times;Serif"/>
          <w:b w:val="false"/>
          <w:i w:val="false"/>
          <w:caps w:val="false"/>
          <w:smallCaps w:val="false"/>
          <w:sz w:val="20"/>
        </w:rPr>
        <w:t>”). Failure, disruption, insolvency, regulatory issue or termination involving the Adviser, the ETF Trust, or their service providers could disrupt or delay the operations of the Silvia ETFs and adversely affect our ETF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remains subject to SEC review and comment and may be amended, delayed or withdrawn. No Silvia ETF may commence operations until the registration statement with respect to that series has become effective, the shares of that series have been approved for listing on a national securities exchange, the Investment Manager’s registration as an investment adviser has become effective and the applicable distribution and operational arrangements are in place. The SEC staff may require changes to the names, investment strategies, disclosure or other features of the proposed Silvia ETFs, including under Rule 35d-1 under the Investment Company Act (the “</w:t>
      </w:r>
      <w:r>
        <w:rPr>
          <w:rFonts w:ascii="Times New Roman;Times;Serif" w:hAnsi="Times New Roman;Times;Serif"/>
          <w:b w:val="false"/>
          <w:i w:val="false"/>
          <w:caps w:val="false"/>
          <w:smallCaps w:val="false"/>
          <w:sz w:val="20"/>
          <w:u w:val="single"/>
        </w:rPr>
        <w:t>Names Rule</w:t>
      </w:r>
      <w:r>
        <w:rPr>
          <w:rFonts w:ascii="Times New Roman;Times;Serif" w:hAnsi="Times New Roman;Times;Serif"/>
          <w:b w:val="false"/>
          <w:i w:val="false"/>
          <w:caps w:val="false"/>
          <w:smallCaps w:val="false"/>
          <w:sz w:val="20"/>
        </w:rPr>
        <w:t>”) to the extent applicable to the final fund names and strategies, and there can be no assurance that any Silvia ETF will launch on the anticipated timeline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Silvia ETF must qualify to rely on Rule 6c-11 under the Investment Company Act and satisfy the initial and continued listing requirements of its primary listing exchange. Rule 6c-11 requires, among other things, daily portfolio transparency and written policies and procedures governing the construction and acceptance of baskets. A failure to satisfy Rule 6c-11 or applicable exchange requirements, an inability to provide required portfolio information, or an inability to operate an effective creation and redemption process could delay the launch of a Silvia ETF, result in a trading halt or delisting, increase premiums and discounts to net asset value, or require changes to the fund’s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proposed Silvia ETFs launch, they may fail to attract sufficient assets under management (“</w:t>
      </w:r>
      <w:r>
        <w:rPr>
          <w:rFonts w:ascii="Times New Roman;Times;Serif" w:hAnsi="Times New Roman;Times;Serif"/>
          <w:b w:val="false"/>
          <w:i w:val="false"/>
          <w:caps w:val="false"/>
          <w:smallCaps w:val="false"/>
          <w:sz w:val="20"/>
          <w:u w:val="single"/>
        </w:rPr>
        <w:t>AUM</w:t>
      </w:r>
      <w:r>
        <w:rPr>
          <w:rFonts w:ascii="Times New Roman;Times;Serif" w:hAnsi="Times New Roman;Times;Serif"/>
          <w:b w:val="false"/>
          <w:i w:val="false"/>
          <w:caps w:val="false"/>
          <w:smallCaps w:val="false"/>
          <w:sz w:val="20"/>
        </w:rPr>
        <w:t>”) to be economically viable. The ETF industry is intensely competitive and is dominated by asset managers with substantially greater scale, distribution networks, brand recognition and financial resources, and is characterized by ongoing fee compression. ETFs that do not achieve sufficient scale may be closed, liquidated, or deregistered, and the Fund Board may close or liquidate any Silvia ETF at any time, in accordance with applicable law and the fund’s governing documents. Launch costs, marketing expenses and any expense obligations we agree to bear may exceed the sub-advisory fee revenue generated by the Silvia ETFs for an extended period or indefinitely.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each sub-advisory agreement must be approved by the Fund Board, including a majority of the trustees who are not interested persons of the ETF Trust, must be approved at least annually after an initial term of up to two years, terminates automatically upon assignment and may be terminated without penalty by the Fund Board or by a vote of a majority of the applicable fund’s outstanding voting securities on not more than 60 days’ written notice. The ETF Trust and the Adviser have received exemptive relief permitting the Adviser, subject to approval by the Fund Board and other conditions, to hire, replace or terminate unaffiliated sub-advisers and materially amend unaffiliated sub-advisory agreements without obtaining the applicable Silvia ETF shareholder approval. Silvia ETF shareholders will be required to receive notice of a change in sub-adviser. Accordingly, the Adviser and the Fund Board may replace the Investment Manager as sub-adviser without the applicable Silvia ETF shareholder vote, and the loss or non-renewal of the sub-advisory relationship could eliminate anticipated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Board owes fiduciary duties to the Silvia ETFs and their shareholders, and not to the Company or our stockholders. The Fund Board or the Adviser could decline to renew, terminate or replace the Investment Manager as sub-adviser, or seek different fee or service arrangements, in each case without our consent or regard to the interests of the Company or its stockholders. The loss, termination or non-renewal of a sub-advisory relationship, or a deterioration in our relationship with the Adviser, could prevent us from earning, or materially reduce, anticipated sub-advisory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proposed Silvia ETFs reference third-party individuals, companies and publications that have not sponsored or endorsed the funds, and one proposed Silvia ETF depends on a license from a publisher in which our Chief Executive Officer holds an ownership interest, which exposes us to intellectual property, right-of-publicity, conflict-of-interest and regulatory risks, including potential forced renaming.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proposed Silvia ETFs are expected to be named for, or to employ investment strategies based on public statements by or public information about, third parties, including prominent business executives, the companies they lead, and investment ideas published by Opening Bell Daily, LLC’s (the “</w:t>
      </w:r>
      <w:r>
        <w:rPr>
          <w:rFonts w:ascii="Times New Roman;Times;Serif" w:hAnsi="Times New Roman;Times;Serif"/>
          <w:b w:val="false"/>
          <w:i w:val="false"/>
          <w:caps w:val="false"/>
          <w:smallCaps w:val="false"/>
          <w:sz w:val="20"/>
          <w:u w:val="single"/>
        </w:rPr>
        <w:t>Opening Bell</w:t>
      </w:r>
      <w:r>
        <w:rPr>
          <w:rFonts w:ascii="Times New Roman;Times;Serif" w:hAnsi="Times New Roman;Times;Serif"/>
          <w:b w:val="false"/>
          <w:i w:val="false"/>
          <w:caps w:val="false"/>
          <w:smallCaps w:val="false"/>
          <w:sz w:val="20"/>
        </w:rPr>
        <w:t>”) Best Ideas Club. Except for the license from the Opening Bell described below, none of the referenced individuals or entities sponsors, endorses, manages or participates in the Silvia ETFs. A license to use content or other intellectual property does not mean that the licensor sponsors or endorses a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or entities, or persons acting on their behalf, could assert claims based on rights of publicity, trademark, unfair competition, false endorsement or similar theories, object publicly to the funds, or take actions, including changes in their public activities, roles or communications, that impair the relevant fund’s strategy or viability. Defending such claims could be costly regardless of merit, and an adverse outcome, SEC staff comment or third-party objection could require the renaming, restructuring or abandonment of one or more proposed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strategies that rely on third-party publications or public statements depend on the continued availability, timeliness, continuity and quality of that source material, none of which we control. A cessation, reduction, delay or change in the relevant content, the termination or narrowing of any applicable license, or a dispute regarding permitted use of transcripts, datasets or other materials could force changes to, or the closure of, the affected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Chairman is a co-founder of, and holds an ownership interest in, the Opening Bell, a financial media publisher, through Inflection Points, Inc. On August 12, 2026, the Investment Manager entered into a license agreement with the Opening Bell pursuant to which the Investment Manager licenses the research service on which the investment universe of the Silvia Best Ideas ETF is based. As the sole consideration for the license, the Investment Manager will pay the Opening Bell a royalty calculated as a percentage of the average daily net assets of the Silvia Best Ideas ETF (the “</w:t>
      </w:r>
      <w:r>
        <w:rPr>
          <w:rFonts w:ascii="Times New Roman;Times;Serif" w:hAnsi="Times New Roman;Times;Serif"/>
          <w:b w:val="false"/>
          <w:i w:val="false"/>
          <w:caps w:val="false"/>
          <w:smallCaps w:val="false"/>
          <w:sz w:val="20"/>
          <w:u w:val="single"/>
        </w:rPr>
        <w:t>Royalty</w:t>
      </w:r>
      <w:r>
        <w:rPr>
          <w:rFonts w:ascii="Times New Roman;Times;Serif" w:hAnsi="Times New Roman;Times;Serif"/>
          <w:b w:val="false"/>
          <w:i w:val="false"/>
          <w:caps w:val="false"/>
          <w:smallCaps w:val="false"/>
          <w:sz w:val="20"/>
        </w:rPr>
        <w:t>”). The Royalty accrues only with respect to periods during which the license agreement is in effect and the Silvia Best Ideas ETF is operational. The license was reviewed and approved by the Audit Committee in accordance with our related person transaction policy. Our Chief Executive Officer and Chairman does not receive any economic benefit from the license other than indirectly through his ownership interest in Opening Bell.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arrangement creates actual and potential conflicts of interest, including with respect to the editorial independence of the underlying publication and the possibility that our Chief Executive Officer’s media activities could be attributed to, or perceived as promoting, the proposed Silvia ETFs. In addition, the license arrangement and the operation and marketing of the Silvia Best Ideas ETF may increase the visibility of, and lead to an increase in paid subscriptions to, the Opening Bell’s publications, which could provide indirect benefits to our Chief Executive Officer through his ownership interests that are not reflected in the Royalty.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from our ETF business will depend on AUM and fee rates, will fluctuate with market prices, including the price of Bitcoin, and may increase the correlation of our results to digital asset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sub-advisory fees we earn are expected to be calculated as a percentage of the average daily net assets of each Silvia ETF’s AUM and paid out of the Adviser’s unitary management fee. The Company would not receive sub-advisory fees directly; those economics would be earned by the Investment Manager, our wholly-owned subsidiary, and would be reflected in our consolidated results. AUM, and therefore our fee revenue, will fluctuate with market prices, investment performance and creations and redemptions of fund shares, and could decline rapidly during market downturns.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proposed Silvia ETFs are expected to have substantial exposure to Bitcoin-related equities or other volatile assets. Because we also hold Bitcoin directly as a treasury reserve asset, a decline in the price of Bitcoin could simultaneously reduce the fair value of our digital asset holdings, the AUM and related fee revenue of the Silvia ETFs and demand for our other products, compounding the effect of digital asset market volatility on our results of operations. Poor investment performance by any Silvia ETF could also cause outflows and impair our ability to launch future products. A registered fund is generally required to have a net worth of at least $100,000 before it may make a public offering of its shares, and each Silvia ETF will therefore require seed capital. We anticipate that third parties will provide seed capital for each Silvia ETF, however, we or our affiliates may provide seed capital to the Silvia ETFs. Any seed capital we provide will be exposed to the relevant fund’s investment performance, may be illiquid, will not be available for our existing operations or other corporate purposes, and could require us to consolidate the fund in our financial statements for so long as our ownership remains controlling.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ETFs are expected to employ novel and complex investment strategies, which increase operational, valuation, liquidity and compliance risks for which the Investment Manager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ETFs are expected to employ novel, actively managed strategies, each of which presents the strategy-specific risks described below. These strategies collectively present heightened risks relating to the valuation of illiquid or hard-to-value assets, compliance with the Investment Company Act limits on illiquid investments and each fund’s liquidity risk management program, derivatives risk management and counterparty exposure, methodology design and execution errors, and market-price deviations from net asset value and impaired arbitrage in fund shares. In addition, each proposed Silvia ETF is expected to be non-diversified, which means that the underperformance of a small number of positions could disproportionately reduce a fund’s AUM and our related fee revenue. The nature and allocation of valuation, liquidity, derivatives and compliance responsibilities will depend on the final governing agreements and applicable fund policies.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is not expected to take physical possession of the assets of any Silvia ETF, which are expected to be held by the ETF Trust’s custodian. The Investment Manager also expects to perform delegated responsibilities supporting the Silvia ETFs’ compliance with applicable Investment Company Act requirements, including Rule 6c-11 (ETF operations and portfolio transparency), Rule 22e-4 (liquidity risk management), Rule 18f-4 (derivatives), Rule 2a-5 (fair valuation) and the Names Rule, in each case as and to the extent those responsibilities are allocated to it under the sub-advisory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trading or valuation errors or compliance failures by the Investment Manager could result in reimbursement obligations, regulatory sanctions, litigation, termination of the sub-advisory agreements and reputational harm, and we may incur liabilities that are not covered by indemnification or insurance. The Investment Manager will owe fiduciary duties to the Silvia ETFs under the Advisers Act, and the compensation it receives for its sub-advisory services would be subject to Section 36(b) of the Investment Company Act, which imposes a fiduciary duty with respect to the receipt of compensation and may be enforced through private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Anti-Money Printer ETF’s multi-theme strategy exposes the fund, and our related fee revenue, to risks specific to each of its investment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Anti-Money Printer ETF is expected to allocate its assets among four investment sleeves: productive land, Bitcoin (through Bitcoin miners and Bitcoin exchange-traded products) and gold (through gold miners and gold exchange-traded products). Each sleeve presents distinct risks, and the fund’s allocations among sleeves may vary over time. The fund is expected to obtain exposure to these sleeves through securities and other instruments permitted for a registered investment company rather than through direct ownership of the underlying assets. Land-related issuers, including REITs and royalty companies, are sensitive to interest rates, commodity and land prices and real estate market conditions, and any investment in publicly traded partnerships would present additional tax and liquidity considerations. Issuers and instruments providing Bitcoin-related exposure are subject to the digital asset market risks described elsewhere in this prospectus, and gold-related issuers and instruments are sensitive to gold prices, production costs and operational and geopolitical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Best Ideas ETF’s investment universe is defined by a single third-party research publication, and the fund invests in ideas only after they have been publicly disseminated.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Best Ideas ETF is expected to select investments from single-stock ideas published in the Best Ideas Club, a subscription research service of the Opening Bell, pursuant to the license arrangement with the Opening Bell described above. The fund’s investment universe would therefore depend on the volume, quality and continuity of ideas published by a single publication that we do not control. If the Best Ideas Club publishes fewer ideas, changes its format or editorial approach, or ceases publication, or if the applicable license is terminated or narrowed, the fund may be unable to implement its strategy and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investment ideas are published to the Best Ideas Club’s subscribers before the fund is able to trade, market prices may already reflect the published idea by the time the fund establishes a position, and other market participants may trade ahead of, alongside or against the fund. The investors whose ideas are featured owe no duty to the fund, may hold economic interests or hedges that differ from their published views, and may exit or reverse a position without timely public disclosure. The fund’s general 12-month target holding period may also cause it to continue to hold positions after the originating thesis is no longer current. Underperformance attributable to these features could cause outflows or the closure of the fund and, because of our Chief Executive Officer’s ownership interest in the Opening Bell, could attract disproportionate scrutiny of the related license arrangement and of our management of the associated conflicts of interest.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Bitcoin Treasury mNAV Discount ETF’s methodology may not identify undervalued issuers, and its investable universe is limited, concentrated and composed of smaller, less liquid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Bitcoin Treasury mNAV Discount ETF is expected to invest in Bitcoin treasury companies whose fully diluted market capitalization is below the value of their Bitcoin holdings, based on a market-to-net-asset-value methodology. A discount of this kind describes a mathematical relationship and does not mean that an issuer’s securities are undervalued or that they will appreciate. Discounts may persist or widen for extended periods, including because of an issuer’s leverage, capital structure, governance, operating losses or limited liquidity, and issuers trading at a discount may continue to underperform notwithstanding the methodology’s screening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eligibility thresholds are expected to permit investment in small- and micro-capitalization issuers with limited trading volume, which present heightened volatility, liquidity and transaction cost risks, and the universe of eligible Bitcoin treasury companies is limited and may contract as a result of acquisitions, delistings, changes in issuer treasury strategies or a broader loss of investor interest in the Bitcoin treasury company model. The fund’s mandatory removal triggers may require sales at disadvantageous times or prices, and the fund is expected to have a high portfolio turnover rate, which increases transaction costs. In addition, because we have adopted a Bitcoin treasury strategy and hold Bitcoin as a treasury reserve asset, underperformance of the fund or adverse developments affecting Bitcoin treasury companies generally could be perceived as reflecting on the viability of our own Bitcoin treasury strategy, compounding the reputational and financial effects on the Company beyond the loss of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Elon ETF concentrates its exposure in companies associated with a single individual and may hold private investments and derivatives that present valuation, liquidity and counterparty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Elon ETF is expected to concentrate its exposure in companies founded, managed or controlled by a single individual, Elon Musk, the Chief Executive Officer of Space Exploration Technologies Corp. The values of these companies may be highly correlated, and developments involving Mr. Musk, including death, incapacity, litigation, regulatory action, reputational events or changes in his roles, holdings or public activities, could cause simultaneous declines across the fund’s portfolio. In addition, a change in Mr. Musk’s relationship with an issuer could cause the issuer to cease to satisfy the fund’s qualification criteria, requiring the fund to dispose of, or terminate derivatives referencing, the position at disadvantageous times or prices. The fund also may obtain exposure through total return swaps and other derivatives, which present counterparty credit risk and may require the fund to hold significant cash and cash equivalents as collateral, which may create a drag on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Silvia ETF may hold privately held companies and related instruments in an amount approaching the 15% limit on illiquid investments imposed by Rule 22e-4 under the Investment Company Act, changes in the value of the fund’s liquid holdings, redemption activity or a reclassification of an investment’s liquidity could cause the fund to exceed that limit without any purchase by the Investment Manager. Exceeding the limit would require reporting to the Fund Board and to the SEC and could require the fund to dispose of investments at disadvantageous prices, and repeated or prolonged breaches could result in regulatory action against, or termination of, the Investment Manager as sub-adviser. In addition, investments in privately held companies and special purpose vehicles may also be subject to contractual restrictions on transfer or disclosure, may not be eligible to be transferred in-kind in connection with creations or redemptions, and may require the relevant ETF to use cash transactions. These features could increase transaction costs, taxable gains, valuation uncertainty and dilution and could impair the arbitrage mechanism for the ETF’s shares. Investments through special purpose vehicles may also expose the ETF to additional fees and expenses and may provide the ETF with fewer voting, information, governance or other rights than it would have if it held the underlying investment directly.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held investments are also hard to value, and the Investment Manager’s valuation-related responsibilities with respect to these investments present a heightened risk of valuation errors, which could result in reimbursement obligations, regulatory action or litigation for which we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Jensen Interview ETF’s investment process depends on the continued availability, and the Investment Manager’s interpretation, of public statements by a single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Jensen Interview ETF is expected to select investments based on the Investment Manager’s analysis of a corpus of broadly disseminated public statements by a single executive, Jensen Huang, the Chief Executive Officer of NVIDIA, during rolling monthly periods. The strategy depends on the continued volume, frequency and substance of Mr. Huang’s public commentary, none of which we control. If Mr. Huang reduces or ceases public commentary, changes roles, or becomes subject to restrictions on his public statements, the corpus may contain few or no qualifying statements, the fund’s portfolio may become less representative of its stated strategy, and the fund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will exercise judgment in determining whether a public statement reflects an investment view relevant to the fund and whether, when and to what extent to implement that view. The Investment Manager is not required to purchase or sell a security solely because Mr. Huang has made a statement concerning the security, its issuer or a related investment. Public statements may be ambiguous, incomplete, hypothetical, humorous, subsequently edited, deleted, clarified or withdrawn, and the Investment Manager may interpret a statement differently from other market participants. Errors or delays in identifying, transcribing, attributing or interpreting public statements, including because of third-party data, social-media or technology failures, could cause the fund to make investment decisions that differ from those that would have been made if complete and accurate information had been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fund is expected to concentrate in semiconductor, artificial intelligence infrastructure and related sectors, the values of which may be highly correlated with one another and with developments affecting a small number of large technology companies. A downturn in these sectors, or execution errors in the corpus methodology, could reduce the fund’s AUM and our related fee revenue and expose the Investment Manager to claims relating to the design or implementation of the fund’s investment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or the solicitation of an offer to buy shares of any Silvia ETF, and shall not constitute an offer, solicitation or sale in any jurisdiction in which such offer, solicitation or sale would be unlawful. Any offering of shares of a Silvia ETF will be made only by means of a prospectus of that fund. We are not the issuer of, and do not offer, shares of any Silvia ETF.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Bitcoin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asset is Bitcoin. The concentration of our Bitcoin holdings enhances the risks inherent in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exposes us to various risks, including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a highly volatile asset. </w:t>
      </w:r>
      <w:r>
        <w:rPr>
          <w:rFonts w:ascii="Times New Roman;Times;Serif" w:hAnsi="Times New Roman;Times;Serif"/>
          <w:b w:val="false"/>
          <w:i w:val="false"/>
          <w:caps w:val="false"/>
          <w:smallCaps w:val="false"/>
          <w:sz w:val="20"/>
        </w:rPr>
        <w:t>Bitcoin is a highly volatile asset that has traded below $60,000 per Bitcoin and above $125,000 per Bitcoin on the Coinbase exchange (a major U.S.-based crypto exchange) in the 12 months preceding the date of this prospectus. The trading price of Bitcoin significantly decreased during prior periods, and such declines may occur again in the future. For example, the price of Bitcoin declined by approximately 77%, from a high of about $69,000 in November 2021 to approximately $16,000 in November 2022, before increasing by more than 300% to over $65,000 in March 2024. As of October 6, 2026, the price of Bitcoin was approximately $85,540. The fair value of our Bitcoin holdings was $441.8 million as of December 31, 2025 and $313.4 million as of June 30, 2026, and we recognized an unrealized loss of $49.4 million from the remeasurement of our Bitcoin holdings for the three months ended June 30, 2026 and $154.8 million for the six months ended June 30, 2026. These price swings illustrate the substantial fluctuations Bitcoin may experience over short and long time periods, and future performance may differ materially from past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a relatively new asset class with a limited history. </w:t>
      </w:r>
      <w:r>
        <w:rPr>
          <w:rFonts w:ascii="Times New Roman;Times;Serif" w:hAnsi="Times New Roman;Times;Serif"/>
          <w:b w:val="false"/>
          <w:i w:val="false"/>
          <w:caps w:val="false"/>
          <w:smallCaps w:val="false"/>
          <w:sz w:val="20"/>
        </w:rPr>
        <w:t>Bitcoin is a digital asset that was introduced in 2009 and remains in the early stages of adoption compared to traditional currencies and assets. It lacks a long track record of performance and is subject to rapidly evolving regulatory, technological, and economic conditions. Unlike fiat currencies such as the U.S. Dollar or Euro, Bitcoin is not formally recognized legal tender in most jurisdictions and is not supported by any sovereign authority or central bank. This lack of governmental backing could diminish confidence in Bitcoin’s long-term viability and increase volatility and speculative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reliant on relatively new computer technology. </w:t>
      </w:r>
      <w:r>
        <w:rPr>
          <w:rFonts w:ascii="Times New Roman;Times;Serif" w:hAnsi="Times New Roman;Times;Serif"/>
          <w:b w:val="false"/>
          <w:i w:val="false"/>
          <w:caps w:val="false"/>
          <w:smallCaps w:val="false"/>
          <w:sz w:val="20"/>
        </w:rPr>
        <w:t>Bitcoin operates through a decentralized, peer-to-peer network of computers using open-source software to verify and record transactions on a public ledger known as the Bitcoin blockchain. The absence of a central governing authority means that Bitcoin is reliant on the continued operation and integrity of this decentralized network. Bitcoin may be subject to changes in the underlying Bitcoin protocol, including “hard forks,” which result in divergent versions of the blockchain and potentially new digital assets. There is no assurance that we will be able to claim, access, or benefit from such forks or other developments, and there may be legal, technical, or operational uncertainties associated with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Bitcoin holdings may significantly impact our financial results and the market price of our listed securities. </w:t>
      </w:r>
      <w:r>
        <w:rPr>
          <w:rFonts w:ascii="Times New Roman;Times;Serif" w:hAnsi="Times New Roman;Times;Serif"/>
          <w:b w:val="false"/>
          <w:i w:val="false"/>
          <w:caps w:val="false"/>
          <w:smallCaps w:val="false"/>
          <w:sz w:val="20"/>
        </w:rPr>
        <w:t>Our Bitcoin holdings may significantly affect our financial results and if we increase our overall holdings of Bitcoin in the future, may have an even greater impact on our financial results and the market price of our listed securities. As of June 30, 2026, we held approximately 5,355 Bitcoin with a fair value of $313.4 million, and we reported net losses of $65.0 million and $172.8 million for the three and six months ended June 30, 2026, respectively, driven in significant part by unrealized losses from the remeasurement of our Bitcoin holdings of $49.4 million and $154.8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assets are concentrated in Bitcoin. </w:t>
      </w:r>
      <w:r>
        <w:rPr>
          <w:rFonts w:ascii="Times New Roman;Times;Serif" w:hAnsi="Times New Roman;Times;Serif"/>
          <w:b w:val="false"/>
          <w:i w:val="false"/>
          <w:caps w:val="false"/>
          <w:smallCaps w:val="false"/>
          <w:sz w:val="20"/>
        </w:rPr>
        <w:t>The vast majority of our assets are concentrated in our Bitcoin holdings. The concentration of our assets in Bitcoin may limit our ability to mitigate risk that could otherwise be achieved by holding a more diversified portfolio of treasury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have historically depended on equity and debt financings and on available working capital to purchase Bitcoin. </w:t>
      </w: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and our liquidity is derived primarily from cash on hand and Bitcoin holdings. Our most recent acquisition of Bitcoin, in February 2026, was funded from our working capital. During the six months ended June 30, 2026 we also used working capital and proceeds from the sale of Bitcoin to repurchase Convertible Notes and shares of Common Stock. If we are unable to obtain equity or debt financing on favorable terms or at all, or if our available cash and cash equivalents decline, we may not be able to successfully execute on our Bitcoin strategy.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rely on a limited number of exchanges and dealers to purchase and sell Bitcoin</w:t>
      </w:r>
      <w:r>
        <w:rPr>
          <w:rFonts w:ascii="Times New Roman;Times;Serif" w:hAnsi="Times New Roman;Times;Serif"/>
          <w:b w:val="false"/>
          <w:i w:val="false"/>
          <w:caps w:val="false"/>
          <w:smallCaps w:val="false"/>
          <w:sz w:val="20"/>
        </w:rPr>
        <w:t>. Bitcoin markets rely on a limited number of exchanges and dealers for liquidity. If these counterparties suspend withdrawals, become insolvent, or experience technical outages, we may not be able to sell Bitcoin when needed, regardless of market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have acquired Bitcoin by writing put option contracts, which can require us to purchase Bitcoin at prices above prevailing market prices. </w:t>
      </w:r>
      <w:r>
        <w:rPr>
          <w:rFonts w:ascii="Times New Roman;Times;Serif" w:hAnsi="Times New Roman;Times;Serif"/>
          <w:b w:val="false"/>
          <w:i w:val="false"/>
          <w:caps w:val="false"/>
          <w:smallCaps w:val="false"/>
          <w:sz w:val="20"/>
        </w:rPr>
        <w:t>We have sold Bitcoin put option contracts as part of our Bitcoin treasury and income-generating strategy. When a contract we have sold is exercised, we are obligated to purchase the underlying Bitcoin at the contractual strike price, which may exceed the market price of Bitcoin at that time. During February 2026, put option contracts covering an aggregate of 450 Bitcoin were exercised and we purchased the underlying Bitcoin at the applicable strike prices. During February and March 2026, we unwound two put option contracts covering an aggregate of 450 Bitcoin prior to expiration, and we recognized a realized loss on put option liabilities of $0.9 million for the six months ended June 30, 2026. As of June 30, 2026, we had no outstanding Bitcoin put option contracts. If we sell put option contracts in the future, we may be required to deploy capital to acquire Bitcoin at prices above prevailing market prices, to post additional collateral, or to incur losses on unwinding those contracts, any of which could adversely affect our liquidity, our financial results and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Bitcoin strategy has not been tested over an extended period of time or under different market conditions. </w:t>
      </w:r>
      <w:r>
        <w:rPr>
          <w:rFonts w:ascii="Times New Roman;Times;Serif" w:hAnsi="Times New Roman;Times;Serif"/>
          <w:b w:val="false"/>
          <w:i w:val="false"/>
          <w:caps w:val="false"/>
          <w:smallCaps w:val="false"/>
          <w:sz w:val="20"/>
        </w:rPr>
        <w:t>We are continually examining the risks and rewards of our strategy to acquire and hold Bitcoin. This strategy has not been tested over an extended period of time or under different market conditions. For example, although we believe Bitcoin, due to its fixed supply, has the potential to serve as a hedge against inflation in the long term, the short-term price of Bitcoin has declined in recent periods during which the inflation rate increased. If Bitcoin prices were to decrease or our Bitcoin strategy otherwise proves unsuccessful, our financial condition, results of operations, and the market price of our listed securities would be materially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are subject to counterparty risks, including in particular risks relating to our custodians. </w:t>
      </w:r>
      <w:r>
        <w:rPr>
          <w:rFonts w:ascii="Times New Roman;Times;Serif" w:hAnsi="Times New Roman;Times;Serif"/>
          <w:b w:val="false"/>
          <w:i w:val="false"/>
          <w:caps w:val="false"/>
          <w:smallCaps w:val="false"/>
          <w:sz w:val="20"/>
        </w:rPr>
        <w:t>If one of the custodians or exchanges we use to store or transfer our Bitcoin experiences operational failure, insolvency, hacking, or fraud, we may not be able to recover our Bitcoin. We have implemented various measures that are designed to mitigate our counterparty risks, including by storing substantially all of the Bitcoin we own in custody accounts at U.S.-based, institutional-grade, qualified custodians and negotiating contractual arrangements intended to establish that our property interest in custodially-held Bitcoin is not subject to claims of our custodians’ creditors. Our Bitcoin is held offline in cold storage, and our custody arrangements are concentrated among a small number of providers. As of October 6, 2026, approximately 27% of our Bitcoin was held with Anchorage Digital Bank, N.A. (“</w:t>
      </w:r>
      <w:r>
        <w:rPr>
          <w:rFonts w:ascii="Times New Roman;Times;Serif" w:hAnsi="Times New Roman;Times;Serif"/>
          <w:b w:val="false"/>
          <w:i w:val="false"/>
          <w:caps w:val="false"/>
          <w:smallCaps w:val="false"/>
          <w:sz w:val="20"/>
          <w:u w:val="single"/>
        </w:rPr>
        <w:t>Anchorage</w:t>
      </w:r>
      <w:r>
        <w:rPr>
          <w:rFonts w:ascii="Times New Roman;Times;Serif" w:hAnsi="Times New Roman;Times;Serif"/>
          <w:b w:val="false"/>
          <w:i w:val="false"/>
          <w:caps w:val="false"/>
          <w:smallCaps w:val="false"/>
          <w:sz w:val="20"/>
        </w:rPr>
        <w:t>”) and approximately 73% of our Bitcoin was held with BitGo Trust Company, Inc. (“</w:t>
      </w:r>
      <w:r>
        <w:rPr>
          <w:rFonts w:ascii="Times New Roman;Times;Serif" w:hAnsi="Times New Roman;Times;Serif"/>
          <w:b w:val="false"/>
          <w:i w:val="false"/>
          <w:caps w:val="false"/>
          <w:smallCaps w:val="false"/>
          <w:sz w:val="20"/>
          <w:u w:val="single"/>
        </w:rPr>
        <w:t>BitGo</w:t>
      </w:r>
      <w:r>
        <w:rPr>
          <w:rFonts w:ascii="Times New Roman;Times;Serif" w:hAnsi="Times New Roman;Times;Serif"/>
          <w:b w:val="false"/>
          <w:i w:val="false"/>
          <w:caps w:val="false"/>
          <w:smallCaps w:val="false"/>
          <w:sz w:val="20"/>
        </w:rPr>
        <w:t>”). Custodial arrangements for digital assets are not as well-established as those for traditional assets. Digital asset services are concentrated among a small group of custodians and liquidity providers. Failure or instability at any one of these counterparties could have outsized effects on our treasury management. Our ability to enforce claims against custodians in bankruptcy or receivership is uncertain and applicable insolvency law is not fully developed with respect to the holding of digital assets in custodial accounts. If our custodially-held Bitcoin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Bitcoin, or delaying or hindering our access to our Bitcoin holdings, and this may ultimately result in the loss of the value related to some or all of such Bitcoin, which could have a material adverse effect on our financial condition as well as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Bitcoin.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Bitcoin,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Bitcoin, limit the availability to us of financing collateralized by Bitcoin, or create or expose additional counterparty risks.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in the accounting treatment of our Bitcoin holdings could have significant accounting impacts, including increasing the volatility of our results. </w:t>
      </w: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Bitcoin holdings in net income each reporting period. ASU 2023-08 requires us to provide certain interim and annual disclosures with respect to our Bitcoin holdings. Due in particular to the volatility in the price of Bitcoin, ASU 2023-08 has had, and we expect will continue to have a material impact on our financial results, increase the volatility of our financial results and affect the carrying value of our Bitcoin holdings on our balance sheet. As described in greater detail under the risk factor heading “Unrealized fair value gains on our Bitcoin holdings could cause us to become subject to the corporate alternative minimum tax under the Inflation Reduction Act of 2022,” ASU 2023-08 could also have adverse tax consequences. These impacts could in turn have a material adverse effect on our financial results and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is a highly volatile asset, and our operating results and market price may significantly fluctuate, including due to the highly volatile nature of the price of Bitcoin and erratic market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highly volatile asset, and fluctuations in the price of Bitcoin have influenced, and are likely to continue to influence, our financial results and the market price of our listed securities, including having the potential to amplify our market price volatility relative to the price of Bitcoin. Our financial results and the market price of our listed securities would be adversely affected, and our business and financial condition would be negatively impacted, if the price of Bitcoin decreased substantially (as it has in the past), including as a result of:</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user and investor confidence in Bitcoin, including due to the various factors described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trading activities, such as (i) trading activities of highly active retail and institutional users, speculators, miners and investors; (ii) actual or expected significant dispositions of Bitcoin by large holders, including the expected liquidation of digital assets associated with entities that have filed for bankruptcy protection and the transfer and sale of Bitcoins associated with significant hacks, seizures, or forfeitures; and (iii) actual or perceived manipulation of the spot or derivative markets for Bitcoin or spot Bitcoin ETPs;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media or social media coverage, or sentiment due to events in or relating to, or perception of, Bitcoin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(ii) expected or pending civil, criminal, regulatory enforcement or other high profile actions against major participants in the Bitcoin ecosystem; (iii) additional filings for bankruptcy protection or bankruptcy proceedings of major digital asset industry participants, such as the bankruptcy proceeding of FTX Trading Ltd. (“</w:t>
            </w:r>
            <w:r>
              <w:rPr>
                <w:rFonts w:ascii="Times New Roman;Times;Serif" w:hAnsi="Times New Roman;Times;Serif"/>
                <w:b w:val="false"/>
                <w:i w:val="false"/>
                <w:caps w:val="false"/>
                <w:smallCaps w:val="false"/>
                <w:sz w:val="20"/>
                <w:u w:val="single"/>
              </w:rPr>
              <w:t>FTX Trading</w:t>
            </w:r>
            <w:r>
              <w:rPr>
                <w:rFonts w:ascii="Times New Roman;Times;Serif" w:hAnsi="Times New Roman;Times;Serif"/>
                <w:b w:val="false"/>
                <w:i w:val="false"/>
                <w:caps w:val="false"/>
                <w:smallCaps w:val="false"/>
                <w:sz w:val="20"/>
              </w:rPr>
              <w:t>”)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the perceived value or prospects of Bitcoin;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stablecoins are often used as a medium of exchange for Bitcoin purchases, a stablecoin’s substantial deviation from its intended peg or unavailability of stablecoins may cause a decrease in the price of Bitcoin or adversely affect investor confidence in digital assets generally;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the Bitcoin protocol, including (i) changes to the Bitcoin protocol that impact the security, speed, scalability, usability or value of the Bitcoin network,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failures, unavailability, or interruptions in service of trading venues for Bitcoin, such as, for example, the announcement by the digital asset exchange FTX Trading that it would freeze withdrawals and transfers from customer accounts on its platform and subsequent filing for bankruptcy protection and the SEC enforcement action brought against Binance Holdings Ltd., which was subsequently dismissed by the district court judge upon a joint request filed by the SEC and Binance on May 29,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for bankruptcy protection by, liquidation of, or market concerns about the financial viability of digital asset custodians, exchanges,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prior years, and the exit of Binance from the U.S. market as part of its settlement with the Department of Justice and other federal regulatory agencies;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legislative, enforcement and judicial actions that adversely affect the price, ownership, transferability, trading volumes, legality or public perception of Bitcoin, or that adversely affect the operations of or otherwise prevent digital asset custodians, exchanges, trading venues, lending platforms or other digital assets industry participants from operating in a manner that allows them to continue to deliver services to the digital assets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reductions in mining rewards of Bitcoin, including due to block reward halving events, which are events that occur after a specific period of time that reduce the block reward earned by “miners” who validate Bitcoin transactions, or increases in the costs associated with Bitcoin mining, including increases in electricity costs and hardware and software used in mining, or new or enhanced regulation or taxation of Bitcoin mining, which could further increase the costs associated with Bitcoin mining, any of which may cause a decline in support for the Bitcoin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congestion and fees associated with processing transactions on the Bitcoin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changes, such as changes in the level of interest rates and inflation, fiscal and monetary policies of governments, trade restrictions, and fiat currency devaluations;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conflict in the Middle East.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limited operating history and the concentration of our Bitcoin holdings, it will be difficult to evaluate our business and future prospects, and we may not be able to achieve or maintain profitability in any given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particularly with respect to our current business model, which is highly concentrated in the acquisition and holding of Bitcoin. As a result, there is limited historical information available to evaluate our business, our management’s ability to execute our strategy, or our prospects for future growth and profitability. We have incurred net losses in each period since inception. We reported a net loss of $29.0 million for the period from June 17, 2025 (inception) through December 31, 2025 and net losses of $65.0 million and $172.8 million for the three and six months ended June 30, 2026, respectively. The lack of a diversified operating history increases the difficulty for investors and analysts to assess our performance, business model viability, and the likelihood of achieving or maintaining profitability. Furthermore, our financial results and prospects are highly dependent on the value and performance of our Bitcoin holdings, which are subject to significant volatility and risk. If we are unable to effectively manage our Bitcoin portfolio, respond to market changes, or adapt our business strategy as necessary, we may not be able to achieve or sustain profitability in any given period. This uncertainty may adversely affect the market price of our Common Stock and the value of an investment in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environment and compete against companies and other entities with similar strategies, including companies with significant Bitcoin holdings and spot exchange traded funds and spot ETPs for Bitcoin and other digital assets, and our business, operating results, and financial condition may be adversely affected if we are unable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companies and investment vehicles focused on Bitcoin and other digital assets is intensely competitive and rapidly evolving. We face competition from a variety of sources, including other public companies with significant Bitcoin holdings and similar Bitcoin strategies, as well as spot exchange traded funds and spot ETPs that provide investors with exposure to Bitcoin and other digital assets. Many of these competitors may have greater financial resources, more established operating histories, broader access to capital markets, and more extensive relationships with key market participants. In addition, the entry of new competitors, including large financial institutions and technology companies, could further intensify competition. Recent joint statements from the leadership of the SEC and the Commodity Futures Trading Commission (the “</w:t>
      </w:r>
      <w:r>
        <w:rPr>
          <w:rFonts w:ascii="Times New Roman;Times;Serif" w:hAnsi="Times New Roman;Times;Serif"/>
          <w:b w:val="false"/>
          <w:i w:val="false"/>
          <w:caps w:val="false"/>
          <w:smallCaps w:val="false"/>
          <w:sz w:val="20"/>
          <w:u w:val="single"/>
        </w:rPr>
        <w:t>CFTC</w:t>
      </w:r>
      <w:r>
        <w:rPr>
          <w:rFonts w:ascii="Times New Roman;Times;Serif" w:hAnsi="Times New Roman;Times;Serif"/>
          <w:b w:val="false"/>
          <w:i w:val="false"/>
          <w:caps w:val="false"/>
          <w:smallCaps w:val="false"/>
          <w:sz w:val="20"/>
        </w:rPr>
        <w:t>”) explicitly invite new entrants (such as registered SEC/CFTC exchanges or dual-registered venues) to explore listing spot crypto-asset products. If we are unable to effectively differentiate our business model, attract and retain investors, or respond to competitive pressures, our business, operating results, and financial condition could be materially and adversely affected. Increased competition may also lead to downward pressure on the market price of our Common Stock and could impair our ability to achieve our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Bitcoin exposes us to certain risks associated with the inherent nature of Bitcoin as a digital asset, such as price volatility, limited liquidity and trading volumes, relative anonymity, potential susceptibility to market abuse and manipulation, compliance and internal control failures at exchanges and other risks inherent in Bitcoin’s entirely electronic, virtual form and decentralized network. Our risk management methods to address these risks might not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involves significant exposure to Bitcoin, which is subject to a number of unique and substantial risks inherent with many digital assets. The price of Bitcoin has historically been highly volatile and may continue to fluctuate dramatically in response to various factors, including market sentiment, regulatory developments, technological changes, macroeconomic trends, and the actions of large holders or market participants. Bitcoin markets rely on a limited number of exchanges and dealers for liquidity. If these counterparties suspend withdrawals, become insolvent, or experience technical outages, we may not be able to sell Bitcoin when needed, regardless of market prices. Bitcoin markets may also experience periods of limited liquidity and trading volumes, which could make it difficult for us to liquidate our holdings at favorable prices or at all. The relative anonymity of Bitcoin transactions and the decentralized nature of the Bitcoin network may make it susceptible to market abuse, manipulation, fraud, and other illicit activities. In addition, we are reliant on third-party exchanges and custodians for the purchase, sale, and safekeeping of our Bitcoin holdings, and failures in compliance, internal controls, or cybersecurity at these entities could result in significant losses. While we have implemented risk management policies and procedures to address these risks, there can be no assurance that such measures will be effective in preventing or mitigating losses. Any failure to adequately manage these risks could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revenues, and expenses may fluctuate significantly, which could have an adverse effect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operating results, revenues, and expenses may vary significantly from quarter to quarter due to a variety of factors, many of which are outside of our control. These factors include, but are not limited to, fluctuations in the market price of Bitcoin, changes in the fair value of our Bitcoin holdings, the timing and size of Bitcoin purchases or sales, changes in accounting standards or interpretations, and the impact of regulatory developments. In addition, our expenses may increase as we invest in infrastructure, personnel, and compliance measures to support our business. As a result, we may experience periods of losses or lower-than-expected profitability, which could cause the market price of our Common Stock to decline. The unpredictability of our financial performance may also make it difficult for investors to accurately forecast future results, increasing the risk associated with an investment in us. For the three months ended June 30, 2026, our revenue was $37,000 and we incurred a loss from operations of $15.0 million, and for the six months ended June 30, 2026, our revenue was $38,000 and we incurred a loss from operations of $22.8 million. Because unrealized gains and losses on our Bitcoin holdings are recognized in net income, our reported results may vary significantly between periods and may not be indicative of our underlying operating performance or cash flows.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value of our Common Stock will depend to a great extent on market demand for our Bitcoin strategy. If market demand for that strategy were to diminish, the value of our Common Stock could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our Common Stock is likely to be closely tied to investor perceptions of the attractiveness and viability of our Bitcoin-focused strategy. In recent years, corporate adoption of Bitcoin has been influenced by trends and market sentiment, with some companies acquiring Bitcoin to enhance their public profiles, attract investor attention, or pursue speculative strategies unrelated to their core businesses. If market enthusiasm for corporate Bitcoin adoption were to wane, or if investors were to view our strategy as less compelling or sustainable, demand for our Common Stock could decline significantly. Additionally, negative publicity, regulatory scrutiny, or adverse developments affecting other companies with similar strategies could further reduce investor interest in us. A decrease in market demand for our Bitcoin strategy could result in a significant decline in the value of our Common Stock, regardless of the underlying performance of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decrease in the market value of our Bitcoin holdings could adversely affect our ability to satisfy our financial obligations under our Convertible Note Financing and any subsequent 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financial obligations, including those arising from our Convertible Note Financing and any future debt financings, is dependent in large part on the value of our Bitcoin holdings. Under the indenture governing the Convertible Notes, we must maintain at all times a 1.0:1.0 loan-to-collateral ratio compliance level with respect to the Convertible Notes outstanding, with Bitcoin valued at 50% of its market value, and cash and cash equivalents valued at 100%, for purposes of that calculation. A decline in the market price of Bitcoin therefore requires us to pledge additional Bitcoin, cash or cash equivalents in order to maintain the required level of collateralization. As of June 30, 2026, $99.6 million aggregate principal amount of Convertible Notes remained outstanding and we had 3,515 Bitcoin on deposit as collateral for the Convertible Notes, of which 3,404 Bitcoin were required to be maintained as collateral. Our capacity to satisfy a collateral requirement with cash is limited. As of June 30, 2026, we had cash and cash equivalents of approximately $15.3 million and no restricted cash, compared to cash and cash equivalents of approximately $45.0 million and restricted cash of approximately $149.9 million as of December 31, 2025. In addition, because the holders of the Convertible Notes have the right to require us to repurchase the Convertible Notes for cash on June 5, 2027, the carrying amount of the Convertible Notes was classified as a current liability as of June 30, 2026, and we had a working capital deficit of approximately $77.3 million as of that date. A significant decline in the market price of Bitcoin could materially reduce the value of our assets and impair our liquidity position. If the value of our Bitcoin holdings were to fall below certain thresholds, we may be unable to generate sufficient cash flows or access additional financing on favorable terms, or at all, to satisfy our debt obligations as they become due. In addition, a decline in the value of our Bitcoin holdings could trigger covenants or other provisions in our debt agreements, potentially resulting in defaults, acceleration of repayment obligations, or the need to post additional collateral. Any such events could have a material adverse effect on our business, financial condition, and results of operations, and could result in a significant loss of value for holders of our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developments regarding the treatment of crypto assets for U.S. and foreign tax purposes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treatment of Bitcoin and other digital assets is subject to significant uncertainty and evolving guidance from U.S. federal, state, and local tax authorities, as well as foreign tax authorities. Changes in tax laws, regulations, or interpretations could have a material impact on our business, including our ability to acquire, hold, or dispose of Bitcoin in a tax-efficient manner. For example, future legislation or regulatory guidance could result in the imposition of new or increased taxes on the acquisition, holding, or transfer of Bitcoin, or could require us to report additional information to tax authorities. In addition, differences in the tax treatment of digital assets across jurisdictions could create compliance challenges and increase our administrative and operational costs. Any adverse developments in the tax treatment of digital assets could reduce the attractiveness of our business model, increase our tax liabilities, and negatively affect our financial results and the value of our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Bitcoin and other digital assets is unclear in certain respects, and it is possible that regulators in the United States or foreign countries may interpret or apply existing laws and regulations in a manner that adversely affects the price of Bitcoin or the ability of individuals or institutions such as us to own or transfer Bitcoin. Recent actions by U.S. federal authorities have provided greater clarity in certain respects, including as to the current treatment of Bitcoin under the federal securities laws, but the legal and regulatory framework applicable to digital assets in the United States and other jurisdictions continues to develop and remains subject to further legislation, rulemaking, interpretation, judicial decisions, implementation and changes in policy.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In July 2025, that working group issued a report recommending a range of legislative and regulatory changes relating to digital asset market structure, banking, custody, taxation and illicit finance; those recommendations are not themselves law. In May 2026, the President issued a further executive order directing federal financial regulators to review regulatory frameworks with a view to integrating digital assets and other financial technology into traditional financial services and payment systems. Executive policy may be modified, implemented in unanticipated ways or rescinded by the current or a future administration;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SEC staff issued Staff Accounting Bulletin No. 122, which rescinded Staff Accounting Bulletin No. 121, and provides that an entity that has an obligation to safeguard crypto assets for others should determine whether to recognize a liability related to the risk of loss under that obligation, and measure any such liability, by applying existing loss-contingency guidance under U.S. GAAP or IFRS. Staff Accounting Bulletin No. 122 also reminds entities of existing requirements to provide disclosures that allow investors to understand an entity’s obligation to safeguard crypto assets held for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an executive order established a Strategic Bitcoin Reserve and a United States Digital Asset Stockpile, to be capitalized with Bitcoin and other digital assets forfeited to the federal government, directed that Bitcoin deposited in the reserve not be sold, and directed the Secretaries of the Treasury and Commerce to develop budget-neutral strategies for acquiring additional Bitcoin. The acquisition, retention or disposition of Bitcoin by the federal government, changes in the implementation of these directives, or their reversal, could affect expectations regarding the supply of and demand for Bitcoin and contribute to volatility in its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Guiding and Establishing National Innovation for U.S. Stablecoins Act was enacted, establishing a federal framework for payment stablecoins. That statute does not regulate Bitcoin as a payment stablecoin and does not establish a comprehensive federal framework for digital asset market structure, and implementing regulations had not been finalized as of the date of this prospectus;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Union’s Markets in Crypto-Assets Regulation, a comprehensive regulatory framework for the issuance of, and the provision of services relating to, digital assets, has applied since December 30, 2024, and the transitional periods available to service providers that were operating under national regimes ended on July 1, 2026, after which a provider that has not obtained the required authorization may not provide crypto-asset services to clients in the European Union;</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SEC filed a complaint against Coinbase, Inc. and Coinbase Global, Inc., alleging, among other claims, that Coinbase was operating as an unregistered securities exchange, broker, and clearing agency and that it failed to register the offer and sale of its crypto asset staking-as-a-service program. In March 2024, a federal court in the Southern District of New York ruled against Coinbase, finding that certain crypto asset transactions and the staking program might be considered securities and denying the company’s motion to dismiss. However, in February 2025, the SEC filed a joint stipulation with the Coinbase entities to dismiss its enforcement action against both entities exercising its discretion to do so, but not because the SEC conceded the merits of the claims alleged in the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SEC filed a complaint against Binance Holdings Ltd., related Binance entities, and Changpeng Zhao alleging, among other claims, that they were operating as an unregistered securities exchange, broker, dealer, and clearing agency and conducted an unregistered offer and sale of Binance’s own crypto assets. In June 2024, the District Court for the District of Columbia issued an order dismissing certain claims while allowing others to proceed. However, in May 2025, the SEC filed a joint stipulation with the Binance entities and Mr. Zhao to dismiss with prejudice its ongoing civil enforcement action against them in the exercise of its discretion;</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SEC filed a complaint against Ripple Labs, Inc., relating to, among other claims, that Ripple undertook the distribution of unregistered securities. In August 2024, the court entered final judgment, having found that certain of Ripple’s institutional sales of XRP constituted an unregistered offer and sale of investment contracts and ordered Ripple to pay a civil penalty of over $125 million. In June 2025, a federal judge in the Southern District of New York rejected a joint motion by Ripple Labs and the SEC that would have endorsed a $50 million fine to settle the civil lawsuit. In August 2025, the SEC dropped its appeal and Ripple dropped its cross-appeal, thus finalizing the $125 million judgment. Similar intervention by the U.S. courts may also materially impact the price of Bitcoin and our ability to own or transfer Bitcoin;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 In March 2025, the SEC exercised its discretion and filed a joint stipulation to dismiss the SEC’s ongoing civil enforcement action against Kraken;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the Financial Services and Markets Act 2023, provided the framework for regulating market activities in “cryptoassets,” and regulations made in February 2026, together with final rules and guidance published by the Financial Conduct Authority in June 2026, will bring a broad range of cryptoasset activities within the Financial Conduct Authority’s regulatory remit when the new regime takes effect on October 25,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Binance Holdings Ltd. and its then chief executive officer reached a settlement with the U.S. Department of Justice, CFTC, the U.S. Department of Treasury’s Office of Foreign Asset Control, and the Financial Crimes Enforcement Network (FinCEN) to resolve a multi-year investigation by the agencies and a civil suit brought by the CFTC, pursuant to which Binance Holdings Ltd. agreed to, among other things, pay $4.3 billion in penalties across the four agencies and to discontinue its operations in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the People’s Bank of China and the National Development and Reform Commission have outlawed cryptocurrency mining and declared all cryptocurrency transactions illegal within the country. Other jurisdictions, including Egypt, Morocco and the Dominican Republic, have also made the use of Bitcoin illegal. If the use of Bitcoin is made illegal in other jurisdictions, particularly where Bitcoin is currently traded in heavy volumes, the available market for Bitcoin may contract. Additionally, if another government with considerable economic power were to ban digital assets or related activities, this could have further impact on the price of Bitcoin. As a result, the markets and opportunities discussed herein may not reflect the markets and opportunities available to us in the future.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2018, the SEC has initiated a number of crypto and digital-asset-related enforcement actions. While the SEC has since requested the dismissal of several of these cases, the SEC or other regulatory agencies may initiate similar actions in the future, which could materially impact the price of Bitcoin and our ability to own or transfer Bitcoin. In January 2025, the SEC launched a crypto task force dedicated to developing a comprehensive and clear regulatory framework for crypto assets. Since then, the task force has sought written input and hosted roundtables with market participants to further task force goals of drawing clear regulatory lines, providing paths to registration, crafting disclosure frameworks, and deploying enforcement resources judiciously. In March 2026, the SEC issued an interpretation, accompanied by related guidance from the CFTC, addressing the application of the federal securities laws to certain types of crypto assets and certain transactions involving crypto assets, and in August 2026 the SEC proposed, but has not adopted, rules that would establish a tailored offering regime for certain investment contracts involving crypto assets. Legislation that would establish a comprehensive federal framework for digital asset market structure remained under consideration in Congress and had not been enacted as of the date of this prospectus, and in September 2026 the U.S. Senate did not advance the principal pending bill for consideration. We cannot predict whether proposed rules will be adopted or in what form, whether legislation will be enacted, how the SEC’s interpretation will be applied, revised or withdrawn, how courts will address these matters, or whether current regulatory approaches will be maintained under future administrations.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a Bitcoin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store of value or means of payment, and the availability and popularity of alternatives to Bitcoin. Even if growth in Bitcoin adoption occurs in the near or medium-term, there is no assurance that Bitcoin usage will continue to grow over the long-term.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January 2023 and February 2023 by Federal banking agencies of joint statements that cautioned banks on the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In 2025, the Federal banking agencies withdrew from those joint statements, rescinded prior notification and supervisory non-objection requirements applicable to certain crypto-asset activities, and issued a joint statement describing how existing laws, regulations and risk-management principles apply to crypto-asset safekeeping by banking organizations. Banking organizations nevertheless remain subject to safety-and-soundness, anti-money laundering, sanctions, cybersecurity, liquidity, operational, third-party risk management and other legal and supervisory requirements, and individual institutions may decline to provide, or may limit, condition, suspend or terminate, services to Bitcoin-related customers and service providers based on those requirements, their own risk appetite or other considerations. Supervisory policy in this area may also change again in the future. The liquidity of Bitcoin may also be impacted to the extent that changes in applicable laws and regulatory requirements negatively impact the ability of exchanges and trading venues to provide services for Bitcoin and other digital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Bitcoin ownership could increase the risk of malicious activity, including potential attacks on the Bitcoin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overall supply of Bitcoin is held by a relatively small number of holders. This concentration of ownership may make the Bitcoin network more susceptible to manipulation or malicious activity by a large holder or group of holders. Malicious actors could theoretically structure an attack whereby such actors gain control of more than half of the Bitcoin network’s processing power, or “aggregate hashrate.” If a malicious actor or group of actors acquired a hashrate exceeding the rest of the Bitcoin network, it would be able to exert unilateral control over the addition of blocks to the Bitcoin blockchain. This would allow a malicious actor to engage in “double spending” (i.e., use the same bitcoin for two or more transactions), prevent other transactions from being confirmed on the Bitcoin blockchain, or prevent other miners from mining any valid new blocks. Each of the events described above, among other things, could adversely affect the price of Bitcoin; reduce user confidence in Bitcoin, the Bitcoin network and the fairness of digital asset trading venues; and slow (or even reverse) the further adoption of Bitcoin. Any of these outcomes could materially and adversely affect the value of our Bitcoin holdings and, as a result, the market price of our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could be subject to complex and costly regulatory requirements, and future regulatory developments are impossible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regulatory characterization of Bitcoin, our business and our Bitcoin strategy may be subject to regulation by one or more regulators in the United States and globally. The CFTC takes the position that some digital assets, including Bitcoin, fall within the definition of a “commodity” under the Commodity Exchange Act of 1936, as amended (the “</w:t>
      </w:r>
      <w:r>
        <w:rPr>
          <w:rFonts w:ascii="Times New Roman;Times;Serif" w:hAnsi="Times New Roman;Times;Serif"/>
          <w:b w:val="false"/>
          <w:i w:val="false"/>
          <w:caps w:val="false"/>
          <w:smallCaps w:val="false"/>
          <w:sz w:val="20"/>
          <w:u w:val="single"/>
        </w:rPr>
        <w:t>CEA</w:t>
      </w:r>
      <w:r>
        <w:rPr>
          <w:rFonts w:ascii="Times New Roman;Times;Serif" w:hAnsi="Times New Roman;Times;Serif"/>
          <w:b w:val="false"/>
          <w:i w:val="false"/>
          <w:caps w:val="false"/>
          <w:smallCaps w:val="false"/>
          <w:sz w:val="20"/>
        </w:rPr>
        <w:t>”). Under the CEA, the CFTC has broad enforcement authority to police market manipulation and fraud in spot digital assets markets, including the Bitcoin markets in which we would transact. The CFTC does not currently have regulatory jurisdiction over the cash-market for commodities such as Bitcoin, but does comprehensively regulate the commodity derivatives markets. This includes the futures and swaps markets for Bitcoin through which we may engage in hedging activities. Among other things, such regulations may require us to post margin with a clearinghouse or counterparty, which would limit our ability to acquire additional Bitcoin. Additionally, any violation of CFTC regulations applicable to our hedging activities could have a significant financial and reputational impact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 officials have stated their view that Bitcoin is not a “security” for purposes of the federal securities laws, but such statements are not official policy statements by the SEC and reflect only the speakers’ views, which are not binding on the SEC or any other agency or court and cannot be generalized to any other digital assets. Future regulatory developments with respect to Bitcoin from the CFTC, SEC, or any other federal or state regulator, are difficult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currently face an uncertain regulatory landscape in not only the United States but also in many foreign jurisdictions such as the European Union, China and Russia. Various foreign jurisdictions may, in the future, adopt laws, regulations or directives that affect digital asset networks and their users, particularly digital asset exchanges and service providers that fall within such jurisdictions’ regulatory scope. Such laws, regulations or directives may conflict with those of the United States and may negatively impact the acceptance of Bitcoin and other digital assets by users, merchants and service providers outside of the United States and may therefore impede the growth of the Bitcoin and digital asset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legislation and regulatory requirements could have an adverse impact on the Bitcoin market and/or our proposed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governmental and regulatory bodies in the United States - including the United States Congress - may adopt new laws or regulations that could affect the listing and clearing of crypto-related products. Several bills to address the digital asset regulatory landscape have been introduced in the first few months of the 119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(2025-2027), including: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stablecoin bill (Guiding and Establishing National Innovation for US Stablecoins Act (“</w:t>
            </w:r>
            <w:r>
              <w:rPr>
                <w:rFonts w:ascii="Times New Roman;Times;Serif" w:hAnsi="Times New Roman;Times;Serif"/>
                <w:b w:val="false"/>
                <w:i w:val="false"/>
                <w:caps w:val="false"/>
                <w:smallCaps w:val="false"/>
                <w:sz w:val="20"/>
                <w:u w:val="single"/>
              </w:rPr>
              <w:t>GENIUS Act</w:t>
            </w:r>
            <w:r>
              <w:rPr>
                <w:rFonts w:ascii="Times New Roman;Times;Serif" w:hAnsi="Times New Roman;Times;Serif"/>
                <w:b w:val="false"/>
                <w:i w:val="false"/>
                <w:caps w:val="false"/>
                <w:smallCaps w:val="false"/>
                <w:sz w:val="20"/>
              </w:rPr>
              <w:t>”) S.1582), which has passed the Senate and House of Representatives with bipartisan support and was signed into law on July 18,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strategic bitcoin reserve bill (Boosting Innovation, Technology, and Competitiveness through Optimized Investment Nationwide (“</w:t>
            </w:r>
            <w:r>
              <w:rPr>
                <w:rFonts w:ascii="Times New Roman;Times;Serif" w:hAnsi="Times New Roman;Times;Serif"/>
                <w:b w:val="false"/>
                <w:i w:val="false"/>
                <w:caps w:val="false"/>
                <w:smallCaps w:val="false"/>
                <w:sz w:val="20"/>
                <w:u w:val="single"/>
              </w:rPr>
              <w:t>BITCOIN Act</w:t>
            </w:r>
            <w:r>
              <w:rPr>
                <w:rFonts w:ascii="Times New Roman;Times;Serif" w:hAnsi="Times New Roman;Times;Serif"/>
                <w:b w:val="false"/>
                <w:i w:val="false"/>
                <w:caps w:val="false"/>
                <w:smallCaps w:val="false"/>
                <w:sz w:val="20"/>
              </w:rPr>
              <w:t>”) S.954), which is currently undergoing review in the Senate;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crypto-asset market structure bill (Digital Asset Market Clarity Act of 2025 (“</w:t>
            </w:r>
            <w:r>
              <w:rPr>
                <w:rFonts w:ascii="Times New Roman;Times;Serif" w:hAnsi="Times New Roman;Times;Serif"/>
                <w:b w:val="false"/>
                <w:i w:val="false"/>
                <w:caps w:val="false"/>
                <w:smallCaps w:val="false"/>
                <w:sz w:val="20"/>
                <w:u w:val="single"/>
              </w:rPr>
              <w:t>CLARITY Ac</w:t>
            </w:r>
            <w:r>
              <w:rPr>
                <w:rFonts w:ascii="Times New Roman;Times;Serif" w:hAnsi="Times New Roman;Times;Serif"/>
                <w:b w:val="false"/>
                <w:i w:val="false"/>
                <w:caps w:val="false"/>
                <w:smallCaps w:val="false"/>
                <w:sz w:val="20"/>
              </w:rPr>
              <w:t>t”) H.R.3633), which was passed by the House of Representatives on July 17, 2025, with bipartisan support and will be delivered to the Senate;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GENIUS Act introduces the first comprehensive federal framework for stablecoins, requiring full 1:1 backing, reserve, and anti-money-laundering compliance. Although the Act focuses on stablecoins, its regulatory framework and enforcement mechanisms could influence broader digital asset oversight, indirectly affecting Bitcoin custody, trading infrastructure, and compliance costs. In addition, several legislative efforts to address the regulation of cryptocurrency, including Bitcoin, have been introduced and are currently pending congressional consideration. Emerging laws and proposals in the U.S. federal government may materially affect our operations, Bitcoin holdings, and investment outcomes.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CLARITY Act, specifically, would clarify which digital assets are commodities versus securities. Additionally, the CLARITY Act would subject certain spot-market digital commodities to a comprehensive regulatory regime for the first time in the United States. While this legislation could have a positive impact on the price of Bitcoin if market participants believe that regulatory clarity and market structure is an advantage, it could also have a negative impact on the industry and the value of Bitcoin if legal and regulatory requirements arising from such legislation are deemed to be too onerous, or for several other reasons.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it is not currently possible to know what changes will be made to the CLARITY Act as it proceeds through the legislative phases, in the event that it is signed into law. Currently, the legislation only requires registration of entities acting as brokers, dealers, exchanges and custodians, rather than entities like ours. However, such entities may bear costs associated with registration that may be passed on to us and other entities transacting in Bitcoin. Additionally, the current legislation would amend the definition of “commodity interests” to include certain digital commodities, which would likely include Bitcoin. Such an amendment could cause certain collective investment vehicles that invest in Bitcoin or advise others as to investing in Bitcoin to be required to register with the CFTC as commodity pool operators (“</w:t>
      </w:r>
      <w:r>
        <w:rPr>
          <w:rFonts w:ascii="Times New Roman;Times;Serif" w:hAnsi="Times New Roman;Times;Serif"/>
          <w:b w:val="false"/>
          <w:i w:val="false"/>
          <w:caps w:val="false"/>
          <w:smallCaps w:val="false"/>
          <w:sz w:val="20"/>
          <w:u w:val="single"/>
        </w:rPr>
        <w:t>CPOs</w:t>
      </w:r>
      <w:r>
        <w:rPr>
          <w:rFonts w:ascii="Times New Roman;Times;Serif" w:hAnsi="Times New Roman;Times;Serif"/>
          <w:b w:val="false"/>
          <w:i w:val="false"/>
          <w:caps w:val="false"/>
          <w:smallCaps w:val="false"/>
          <w:sz w:val="20"/>
        </w:rPr>
        <w:t>”) or commodity trading advisors (“</w:t>
      </w:r>
      <w:r>
        <w:rPr>
          <w:rFonts w:ascii="Times New Roman;Times;Serif" w:hAnsi="Times New Roman;Times;Serif"/>
          <w:b w:val="false"/>
          <w:i w:val="false"/>
          <w:caps w:val="false"/>
          <w:smallCaps w:val="false"/>
          <w:sz w:val="20"/>
          <w:u w:val="single"/>
        </w:rPr>
        <w:t>CTAs</w:t>
      </w:r>
      <w:r>
        <w:rPr>
          <w:rFonts w:ascii="Times New Roman;Times;Serif" w:hAnsi="Times New Roman;Times;Serif"/>
          <w:b w:val="false"/>
          <w:i w:val="false"/>
          <w:caps w:val="false"/>
          <w:smallCaps w:val="false"/>
          <w:sz w:val="20"/>
        </w:rPr>
        <w:t>”). While we do not currently anticipate that we would be required to register as a CPO or CTA even under the current version of the CLARITY Act, if we were required to do so, we could face increased compliance costs and regulatory scrutiny, which could have a material and adverse impact on our business and performance.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elect to use derivative instruments to hedge the price risk of holding Bitcoin, such derivatives are highly volatile and subject to market and liquidity risks, which could negatively impact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and trade in a variety of derivative instruments to hedge the price risk associated with Bitcoin. Derivatives, such as futures and swaps, are financial instruments or arrangements in which the risk and return are related to changes in the value of other assets, reference rates or indices. These instruments are highly volatile and expose investors to a high risk of loss. The low initial margin deposits normally required to establish a position in such instruments permit a high degree of leverage. As a result, depending on the type of instrument, a relatively small movement in the price of a contract may result in a profit or a loss which is high in proportion to the amount of funds actually placed as initial margin and may result in unquantifiable further loss exceeding any margin deposited. Our ability to profit or avoid risk through investment or trading in derivatives will depend on our ability to anticipate changes in the underlying assets, reference rates or indices. Engaging in hedging may result in poorer overall performance for us than we could have achieved had we not engaged in such hedging transactions. In addition, although we may utilize a variety of instruments, including options and other derivatives, for hedging and risk management purposes, we are not obligated to, and may not, hedge against certain risks. Furthermore, our portfolio may be exposed to risks that cannot be hedged. Use of hedging and risk management products may also increase our regulatory burden and costs of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exposed to the default risk of our clearing broker if we hedge the price risk of Bitcoin through the purchase of futures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clearing broker to help manage financial transactions - such as buying or selling Bitcoin futures contracts to hedge against Bitcoin price swings - then we will be exposed to the clearing broker’s credit risk. Under the CEA and CFTC regulations, futures contracts must be cleared through a clearing broker known as a registered futures commission merchant (“</w:t>
      </w:r>
      <w:r>
        <w:rPr>
          <w:rFonts w:ascii="Times New Roman;Times;Serif" w:hAnsi="Times New Roman;Times;Serif"/>
          <w:b w:val="false"/>
          <w:i w:val="false"/>
          <w:caps w:val="false"/>
          <w:smallCaps w:val="false"/>
          <w:sz w:val="20"/>
          <w:u w:val="single"/>
        </w:rPr>
        <w:t>FCM</w:t>
      </w:r>
      <w:r>
        <w:rPr>
          <w:rFonts w:ascii="Times New Roman;Times;Serif" w:hAnsi="Times New Roman;Times;Serif"/>
          <w:b w:val="false"/>
          <w:i w:val="false"/>
          <w:caps w:val="false"/>
          <w:smallCaps w:val="false"/>
          <w:sz w:val="20"/>
        </w:rPr>
        <w:t>”). FCMs hold a certain amount of the customer collateral that customers deposit in connection with their futures trading, and are responsible for posting that collateral to the clearinghouse on the customer’s behalf when the clearinghouse issues a margin call. FCMs are required to maintain such collateral and all customer assets in a segregated account. If the FCM fails to do so, or is unable to satisfy a substantial deficit in a customer account, our customers (including us) may be subject to risk of loss of their funds in the event of the FCM’s insolvency. In such event, under the current U.S. Bankruptcy Code, the FCM’s customers (including us) are entitled to recover only a proportional share of all property available for distribution to all of that FCM’s customers. We may therefore be exposed to material losses in the event of an FCM’s or fellow FCM customer’s default or insolvency.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Qualified Financial Contract Stay rules may restrict our ability to liquidate our positions or exercise default rights in the event that a swap counterparty becomes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regulations issued by certain U.S. banking regulators that are currently in effect, certain large U.S. financial institutions and their subsidiaries, as well as the U.S. branches or subsidiaries of certain large non-US financial institutions, are required to amend the default and transfer provisions of their “Qualified Financial Contracts” (“</w:t>
      </w:r>
      <w:r>
        <w:rPr>
          <w:rFonts w:ascii="Times New Roman;Times;Serif" w:hAnsi="Times New Roman;Times;Serif"/>
          <w:b w:val="false"/>
          <w:i w:val="false"/>
          <w:caps w:val="false"/>
          <w:smallCaps w:val="false"/>
          <w:sz w:val="20"/>
          <w:u w:val="single"/>
        </w:rPr>
        <w:t>QFCs</w:t>
      </w:r>
      <w:r>
        <w:rPr>
          <w:rFonts w:ascii="Times New Roman;Times;Serif" w:hAnsi="Times New Roman;Times;Serif"/>
          <w:b w:val="false"/>
          <w:i w:val="false"/>
          <w:caps w:val="false"/>
          <w:smallCaps w:val="false"/>
          <w:sz w:val="20"/>
        </w:rPr>
        <w:t>”), and to ensure that future QFCs comply with the relevant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QFCs include swaps and repurchase agreements (among other types of contracts) and guarantees and other forms of credit enhancement for such contracts, that receive certain favorable treatment under the U.S. Bankruptcy Code by permitting market participants (like us) to avoid the otherwise-applicable “automatic stay” provisions of the Bankruptcy Code, and terminate the contracts in the event of the financial institution’s or our guarantor’s bankruptcy. The purpose of these requirements is to ensure that, in the event of a large financial institution’s bankruptcy, or the bankruptcy of a guarantor or covered affiliate, QFC counterparties do not simultaneously terminate their positions and cause a liquidity shortfall before the financial institution’s affiliates and/or federal regulators are able to resolve the defaulting entity in an orderly fashion.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regulations, if we enter into QFCs with a covered financial institution, and that financial institution, our guarantor or a covered affiliate becomes bankrupt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becomes subject to a receivership, insolvency, liquidation, resolution or similar proceeding), we may be restricted from immediately terminating that agreement, which could lead to losses on our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foreign jurisdictions have adopted comparable rules, including France, Germany, Japan, Switzerland and U.K. If we enter into QFCs with a covered financial institution in any of those foreign jurisdictions, the restrictions on immediately terminating QFCs could lead to a negative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including by governments, consortiums or financial institutions, could have a negative impact on the price of Bitcoin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Bitcoin strategy, our assets are concentrated in our Bitcoin holdings. Accordingly, the emergence or growth of digital assets other than Bitcoin may have a material adverse effect on our financial condition. As of May 2025, Bitcoin was the largest digital asset by market capitalization.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on the network that requires significantly less computing power than proof-of-work mining. As a result, validators now stake, or lock up, a certain amount of Ethereum’s native cryptocurrency, Ether, as collateral. The Ethereum network has completed another major upgrade since then and may undertake additional upgrades in the future. If the mechanisms for validating transactions on the Ethereum network and other alternative blockchain networks are perceived as superior to proof-of-work mining used for the Bitcoin network, those alternative blockchain networks and their associated digital assets could gain market share relative to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may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 Stablecoins offer users the benefit of blockchain-based transactions without exposure to the price volatility historically associated with Bitcoin. As adoption of stablecoins grows, they may increasingly serve functions that might otherwise have been fulfilled by Bitcoin, particularly for payments, remittances, or short-term transactional use cases. If stablecoins gain broader acceptance by consumers, businesses, or regulators as a preferred form of digital currency, demand for Bitcoin could diminish. This competitive dynamic may adversely affect Bitcoin’s market price, reduce trading volumes, and negatively impact our Bitcoin-related holdings, financial performance, and strategic initiatives.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often known as central bank digital currency (“</w:t>
      </w:r>
      <w:r>
        <w:rPr>
          <w:rFonts w:ascii="Times New Roman;Times;Serif" w:hAnsi="Times New Roman;Times;Serif"/>
          <w:b w:val="false"/>
          <w:i w:val="false"/>
          <w:caps w:val="false"/>
          <w:smallCaps w:val="false"/>
          <w:sz w:val="20"/>
          <w:u w:val="single"/>
        </w:rPr>
        <w:t>CBDCs</w:t>
      </w:r>
      <w:r>
        <w:rPr>
          <w:rFonts w:ascii="Times New Roman;Times;Serif" w:hAnsi="Times New Roman;Times;Serif"/>
          <w:b w:val="false"/>
          <w:i w:val="false"/>
          <w:caps w:val="false"/>
          <w:smallCaps w:val="false"/>
          <w:sz w:val="20"/>
        </w:rPr>
        <w:t>”).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Bitcoin ETPs for Bitcoin and other digital assets may adversely affect the market price of our listed securities and may make it more difficult for us to execute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through traditional investment channels, and instead generally were only able to hold Bitcoin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To the extent investors view our Common Stock as providing exposure to Bitcoin, it is possible that the value of our Common Stock may also have included a premium over the value of our Bitcoin due to the prior scarcity of traditional investment vehicles providing investment exposure to Bitcoin, and that the value of our Common Stock may decline due to investors now having a greater range of options to gain exposure to Bitcoin and investors choosing to gain such exposure through spot Bitcoin ETPs rather than our Common Stock. Additionally, on May 23, 2024, the SEC approved rule changes permitting the listing and trading of spot ETPs that invest in Ether, the main crypto digital asset supporting and underlying the Ethereum blockchain. The approved Ether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or the other risk factors applicable to an operating business, such as ours. Additionally, unlike spot Bitcoin ETPs, we (i) do not seek for our shares of our Common Stock to track the value of the underlying Bitcoin we hold before payment of expenses and liabilities, (ii) do not benefit from various exemptions and relief under the Exchange Act, including Regulation M, and other securities laws, which enable ETPs to continuously align the value of their shares to the price of the underlying assets they hold through share creation and redemption, (iii) are a Delaware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spot Bitcoin ETPs, and other vehicles which offer economic exposure to Bitcoin, such as Bitcoin futures exchange-traded funds (“</w:t>
      </w:r>
      <w:r>
        <w:rPr>
          <w:rFonts w:ascii="Times New Roman;Times;Serif" w:hAnsi="Times New Roman;Times;Serif"/>
          <w:b w:val="false"/>
          <w:i w:val="false"/>
          <w:caps w:val="false"/>
          <w:smallCaps w:val="false"/>
          <w:sz w:val="20"/>
          <w:u w:val="single"/>
        </w:rPr>
        <w:t>ETFs</w:t>
      </w:r>
      <w:r>
        <w:rPr>
          <w:rFonts w:ascii="Times New Roman;Times;Serif" w:hAnsi="Times New Roman;Times;Serif"/>
          <w:b w:val="false"/>
          <w:i w:val="false"/>
          <w:caps w:val="false"/>
          <w:smallCaps w:val="false"/>
          <w:sz w:val="20"/>
        </w:rPr>
        <w:t>”), leveraged Bitcoin futures ETFs, and similar vehicles offered on international exchanges, any premium or discount in our Common Stock relative to the value of our Bitcoin holdings may increase or decrease in different market conditions.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Bitcoin ETPs for Bitcoin and other digital assets could have a material adverse effect on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ordinary course of business managing our Bitcoin holding as a Bitcoin treasury company, we may purchase Bitcoin through spot markets which may be exposed to fraud and market manipulation, including through front running and wash trading, which may adversely affect the value of the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blockchain infrastructure could be used by certain market participants to exploit arbitrage opportunities through schemes such as front-running, spoofing, pump-and-dump and fraud across different systems, platforms or geographic locations. As a result of reduced oversight, these schemes may be more prevalent in digital asset markets than in the general market for financial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identified possible sources of fraud and manipulation in the Bitcoin market generally, including, among others (1) “wash trading”; (2) persons with a dominant position in Bitcoin manipulating Bitcoin pricing; (3) hacking of the Bitcoin network and trading platforms; (4) malicious control of the Bitcoin network; (5) trading based on material, non-public information (for example, plans of market participants to significantly increase or decrease their holdings in Bitcoin, new sources of demand for Bitcoin, etc.) or based on the dissemination of false and misleading information; (6) manipulative activity involving purported “stablecoins,” including Tether; and (7) fraud and manipulation at Bitcoin trading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managing our Bitcoin holding as a Bitcoin treasury company, we may purchase Bitcoin through spot markets. Over the past several years, a number of Bitcoin spot markets have been closed or faced issues due to fraud. In many of these instances, the customers of such Bitcoin spot markets were not compensated or made whole for the partial or complete losses of their account balances in such Bitcoin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reports claiming that more than half of Bitcoin trading volume on digital asset exchanges was fake. Such reports alleged that certain overseas exchanges have displayed suspicious trading activity suggestive of a variety of manipulative or fraudulent practices. Other academics and market observers have put forth evidence to support claims that manipulative trading activity has occurred on certain Bitcoin exchanges. For example, in a 2017 paper titled “Price Manipulation in the Bitcoin Ecosystem” sponsored by the Interdisciplinary Cyber Research Center at Tel Aviv University, a group of researchers used publicly available trading data, as well as leaked transaction data from a 2014 Mt. Gox security breach, to identify and analyze the impact of “suspicious trading activity” on Mt. Gox between February and November 2013, which, according to the authors, caused the price of Bitcoin to increase from around $150 to more than $1,000 over a two-month period. In August 2017, it was reported that a trader or group of traders nicknamed “Spoofy” was placing large orders on Bitfinex without actually executing them, presumably in order to influence other investors into buying or selling by creating a false appearance that greater demand existed in the market. In December 2017, an anonymous blogger (publishing under the pseudonym Bitfinex’d) cited publicly available trading data to support his or her claim that a trading bot nicknamed “Picasso” was pursuing a paint-the-tape-style manipulation strategy by buying and selling Bitcoin and Bitcoin Cash between affiliated accounts in order to create the appearance of substantial trading activity and thereby influence the price of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consequences of a spot market’s failure or failure to prevent market manipulation could adversely affect the value of the shares of our Common Stock. Any market abuse, and a loss of investor confidence in Bitcoin, may adversely impact pricing trends in Bitcoin markets broadly, as well as an investment in shares of our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Bitcoin on available spot markets may be exposed to wash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markets on which Bitcoin trades, through which we may purchase Bitcoin, may be susceptible to wash trading. Wash trading occurs when offsetting trades are entered into for other than bona fide reasons, such as the desire to inflate reported trading volumes. Wash trading may be motivated by non-economic reasons, such as a desire for increased visibility on popular websites that monitor markets for digital assets so as to improve their attractiveness to investors who look for maximum liquidity, or it may be motivated by the ability to attract listing fees from token issuers who seek the most liquid and high-volume exchanges on which to list their coins. Results of wash trading may include unexpected obstacles to trade and erroneous investment decisions based on false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in the United States, there have been allegations of wash trading even on regulated venues. Any actual or perceived false trading in the digital asset exchange market, and any other fraudulent or manipulative acts and practices, could adversely affect the value of Bitcoin and/or negatively affect the market perception of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wash trading either occurs or appears to occur in spot markets on which Bitcoin trades, investors may develop negative perceptions about Bitcoin and the digital assets industry more broadly, which could adversely impact the price of Bitcoin and, therefore, the price of shares of our Common Stock. Wash trading also may place more legitimate digital asset exchanges at a relative competitive disadvantage.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Bitcoin on available spot markets may be exposed to front-running.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markets on which Bitcoin trades, through which we may purchase Bitcoin, may be susceptible to “front-running,” which refers to the process when someone uses technology or market advantage to get prior knowledge of upcoming transactions. Front-running is a frequent activity on centralized as well as decentralized exchanges. By using bots functioning on a millisecond-scale timeframe, bad actors are able to take advantage of the forthcoming price movement and make economic gains at the cost of those who had introduced these transactions. The objective of a front runner is to buy a chunk of tokens at a low price and later sell them at a higher price while simultaneously exiting the position. Front-running happens via manipulations of gas prices or timestamps, also known as slow matching. To the extent that front-running occurs, it may result in investor frustrations and concerns as to the price integrity of digital asset exchanges and digital assets more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Bitcoin is susceptible to various types of malicious attacks, including 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51% attack</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and such an attack, even temporarily, could adversely impact the price of Bitcoin and the value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networks, including the Bitcoin network, are subject to control by entities that capture a majority of the network’s computational power. If a single attacker, or a group of attackers acting in concert, control (even temporarily) a majority of the network mining power (known as hash rate) of the Bitcoin network, known as a “51%” attack, they could engage in harmful acts that could threaten the integrity of the network. For example, such attackers could reverse completed transactions, approve or reject transactions solely for their own benefit, or modify the ordering of transactions. This might allow these malicious actors to “double-spend” their own Bitcoin (i.e., spend the same Bitcoin in more than one transaction) and prevent the confirmation of other users’ transactions for so long as it maintained control. To the extent that such malicious actors did not yield control of the processing power on the Bitcoin network or the network community did not reject the fraudulent blocks as malicious, reversing any changes made to the Bitcoin network may not be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 malicious actor could create a flood of transactions in order to slow down confirmations of transactions on the Bitcoin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subsequently implemented mitigation procedures to significantly increase the difficulty of attacks of this nature by introducing a penalty for delayed block submissions.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pools, where miners combine their computational resources (hash power) to increase their chances of mining new blocks and earning rewards, have become a crucial part of the Bitcoin network. If large mining pools were to combine their resources and act maliciously, it could increase the risk of a 51% attack. Moreover, if a majority of miners used the same hardware to mine Bitcoin and such hardware contained malicious code, it is possible that the distributor of that code could launch a 51% attack. For example, in May 2019, the Bitcoin Cash network, a proof-of-work network, experienced a &gt;50% attack when two large mining pools reversed a series of transactions to stop an unknown miner from taking advantage of a flaw in a recent Bitcoin Cash protocol upgrade. Although this particular attack was arguably benevolent, certain individuals believe it negatively impacted the Bitcoin Cash network.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 attack is more likely to happen in the context of digital assets with smaller market capitalizations due to the reduced computing power threshold required to control a majority of a given network. Nevertheless, it is theoretically possible to mount a similar 51% attack on Bitcoin or other digital assets with large market capitalization. If the feasibility of a bad actor gaining control of the processing power on the Bitcoin network increases, there may be a negative effect on the value of Bitcoin and the value of the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only a few developers who have the authority to maintain the Bitcoin code. A malicious actor could obtain control over the Bitcoin network by influencing or exerting control over one or more maintainers. The malicious actor could, for example, convince or pressure a maintainer to modify the code in a manner that benefits the malicious actor. If such amended code is then unknowingly incorporated by a majority of miners, the malicious actor might be able to manipulate the bitcoin network to their benefit. To the extent the malicious actor is successful, and such amendments enable the malicious exploitation of the Bitcoin network, the risk that a malicious actor may be able to obtain control of the Bitcoin network in this manner exists, which may adversely affect the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Bitcoin ecosystem, including the core developers and the administrators of mining pools, does not act to ensure greater decentralization of mining processing power, the feasibility of a malicious actor obtaining control of the processing power on the Bitcoin network will increase, which may adversely affect the value of the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exploitations or attacks occur, it could result in a loss of public confidence in Bitcoin and a decline in the value of Bitcoin and, as a result, adversely impact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legal and regulatory uncertainty around Bitcoin and other digital assets, and our Bitcoin strategy could subject us to enhanced regulatory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or intend to implement and maintain policies and procedures reasonably designed to promote compliance with applicable anti-money laundering, know-your-customer and sanctions laws and regulations and take care to only acquire our Bitcoin through entities subject to anti-money laundering/know-your-customer regulation and related compliance rules in the United States, if we are found to have purchased any of our Bitcoin from bad actors that have used Bitcoin to launder money or from persons subject to sanctions, we may be subject to regulatory proceedings, investigations and any further transactions or dealings in Bitcoin by us may be restricted or prohibited.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Legacy ProCap contributed its Bitcoin to us, and we use a portion of the Bitcoin and/or cash and cash equivalents to secure the Convertible Notes. We may incur additional indebtedness or enter into other financial instruments in the future that may be collateralized by our Bitcoin holdings. We may also consider pursuing strategies to create income streams or otherwise generate funds using our Bitcoin holdings. These types of Bitcoin-related transactions may be the subject of enhanced regulatory oversight. These and any other Bitcoin-related transactions we may enter into, beyond simply acquiring and holding Bitcoin, may subject us to additional regulatory compliance requirements and scrutiny, including under Federal and state money services regulations, money transmitter licensing requirements and various commodity and securities laws and regulations.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trading venues may experience greater fraud, security failures or regulatory or operational problems than trading venues for more established asset classes.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trading venues are relatively new and, in many cases, unregulated. Furthermore, there are many Bitcoin trading venues which do not provide the public with significant information regarding their ownership structure, management teams, corporate practices and regulatory compliance. As a result, the marketplace may lose confidence in Bitcoin trading venues, including prominent exchanges that handle a significant volume of Bitcoin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Since 2018, the SEC has initiated a number of crypto and digital-asset-related enforcement actions. While the SEC has since requested the dismissal of several of these cases, the SEC or other regulatory agencies may initiate similar actions in the future, which could materially impact the price of Bitcoin and our ability to own or transfer Bitcoin. As the price of our listed securities is affected by the value of our Bitcoin holdings, the failure of a major participant in the Bitcoin ecosystem could have a material adverse effect on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or the regulatory concerns associated with Bitcoin have in the past taken and may in the future take further actions that may have an adverse effect on our business or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effective Anti-Money Laundering and Know Your Customer compliance policies could adversely affect our business, reputation, and regulatory 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implemented a comprehensive Know Your Customer (“</w:t>
      </w:r>
      <w:r>
        <w:rPr>
          <w:rFonts w:ascii="Times New Roman;Times;Serif" w:hAnsi="Times New Roman;Times;Serif"/>
          <w:b w:val="false"/>
          <w:i w:val="false"/>
          <w:caps w:val="false"/>
          <w:smallCaps w:val="false"/>
          <w:sz w:val="20"/>
          <w:u w:val="single"/>
        </w:rPr>
        <w:t>KYC</w:t>
      </w:r>
      <w:r>
        <w:rPr>
          <w:rFonts w:ascii="Times New Roman;Times;Serif" w:hAnsi="Times New Roman;Times;Serif"/>
          <w:b w:val="false"/>
          <w:i w:val="false"/>
          <w:caps w:val="false"/>
          <w:smallCaps w:val="false"/>
          <w:sz w:val="20"/>
        </w:rPr>
        <w:t>”) and Anti-Money Laundering (“</w:t>
      </w:r>
      <w:r>
        <w:rPr>
          <w:rFonts w:ascii="Times New Roman;Times;Serif" w:hAnsi="Times New Roman;Times;Serif"/>
          <w:b w:val="false"/>
          <w:i w:val="false"/>
          <w:caps w:val="false"/>
          <w:smallCaps w:val="false"/>
          <w:sz w:val="20"/>
          <w:u w:val="single"/>
        </w:rPr>
        <w:t>AML</w:t>
      </w:r>
      <w:r>
        <w:rPr>
          <w:rFonts w:ascii="Times New Roman;Times;Serif" w:hAnsi="Times New Roman;Times;Serif"/>
          <w:b w:val="false"/>
          <w:i w:val="false"/>
          <w:caps w:val="false"/>
          <w:smallCaps w:val="false"/>
          <w:sz w:val="20"/>
        </w:rPr>
        <w:t>”) Policy designed to comply with global AML and Counter-Terrorist Financing (“</w:t>
      </w:r>
      <w:r>
        <w:rPr>
          <w:rFonts w:ascii="Times New Roman;Times;Serif" w:hAnsi="Times New Roman;Times;Serif"/>
          <w:b w:val="false"/>
          <w:i w:val="false"/>
          <w:caps w:val="false"/>
          <w:smallCaps w:val="false"/>
          <w:sz w:val="20"/>
          <w:u w:val="single"/>
        </w:rPr>
        <w:t>CTF</w:t>
      </w:r>
      <w:r>
        <w:rPr>
          <w:rFonts w:ascii="Times New Roman;Times;Serif" w:hAnsi="Times New Roman;Times;Serif"/>
          <w:b w:val="false"/>
          <w:i w:val="false"/>
          <w:caps w:val="false"/>
          <w:smallCaps w:val="false"/>
          <w:sz w:val="20"/>
        </w:rPr>
        <w:t>”) laws and regulations. The policy includes board-level governance, annual risk assessments, customer identification procedures, enhanced due diligence for high-risk customers, ongoing transaction monitoring, daily sanctions screening, and prompt reporting of suspicious activities. We also conduct annual AML/KYC training for all employees and engage an independent third party to audit our program annually.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measures, there can be no assurance that our policies and procedures will be fully effective in preventing the use of services for money laundering, terrorist financing, or other illicit activities. The legal and regulatory landscape governing AML, KYC, and CTF compliance continues to evolve, and we may be subject to increased scrutiny or new regulatory requirements in the jurisdictions in which we operate. Any failure, or perceived failure, to maintain effective compliance programs could result in significant legal, financial, and reputational harm, including regulatory enforcement actions, monetary penalties, operational restrictions, and loss of business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detecting and preventing such misuse is inherently challenging, and despite our efforts, we may not be able to identify all illicit activity in a timely manner or at all. Any such failure could harm our reputation, impair customer and partner confidence,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policies in place to address airdrops, incidental rights, or hard forks, and any failure to adopt or implement such policies in a timely manner could expose us to operational, legal, and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operations, we may be affected by events such as airdrops, the receipt of incidental rights, or blockchain protocol changes known as hard forks. At present, we do not have formal policies or procedures in place to address the accounting, operational, tax, legal, or regulatory implications of these events. We plan to evaluate the need for such policies in consultation with our board of directors. While our audit committee and board of directors will monitor related risks as part of their oversight responsibilities, there can be no assurance that appropriate policies will be adopted or implemented in a timely manner,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formalized policies increases our exposure to various risks, including inconsistent treatment of such events, potential violations of applicable laws or regulations, financial reporting inaccuracies, and operational inefficiencies. In addition, future receipt of digital assets through airdrops or forks may raise questions about our rights and obligations with respect to such assets, as well as potential tax liabilities. If we fail to appropriately address these issues, our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will be less liquid than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exchanges or other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service providers experience a security breach or cyber-attack and unauthorized parties obtain access to our Bitcoin assets, we may lose some or all of our Bitcoin assets temporarily or permanently and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qualified custodians. As of October 6, 2026, approximately 27% of our Bitcoin was held with Anchorage, and approximately 73% of our Bitcoin was held with BitGo. Any material failure by our partners to maintain the necessary controls, policies, and procedures to manage our Bitcoin could adversely impact our business, operating results, and financial condition.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A successful security breach or cyberattack could result in:</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partial or total loss of our Bitcoin in a manner that may not be covered by insurance or the liability provisions of the custody agreements with the custodians who hold our Bitcoin;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reputation and brand;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disclosure of data and violations of applicable data privacy and other laws;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regulatory scrutiny, investigations, fines, penalties, and other legal, regulatory, contractual and financial exposure.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have attempted, and we expect that they will continue to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The risk of cyberattacks could also be increased by cyberwarfare in connection with the ongoing Russia-Ukraine and Middle East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 which could cause us to lose some or all of our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our Bitcoin with regulated qualified custodians at U.S.-based, institutional-grade custodians that have demonstrated records of regulatory compliance and information security. We do not anticipate that our custodial services contracts will restrict our ability to reallocate our Bitcoin among our custodians, and our Bitcoin holdings may be concentrated with a single custodian from time to time. If there is a decrease in the availability of digital asset qualified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may only cover losses of a small fraction of the value of the entirety of our Bitcoin holdings, and there can be no guarantee that such insurance will be maintained as part of the custodial services we will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our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supervisory, and market developments may limit the availability, terms or quality of custodial and other services for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financial institutions and other service providers that offer custodial and related services for Bitcoin remains limited relative to traditional asset classes, and those services may be concentrated among a relatively small number of providers. Applicable laws, regulations and supervisory expectations, as well as the risk appetite, operational capacity, financial condition and commercial terms of individual providers, may affect the availability, cost, scope and quality of custodial services for Bitcoin, and a provider may limit, condition, suspend or discontinue those services. Custodial arrangements for Bitcoin are also subject to operational, cybersecurity, key management, fraud, insolvency and legal risks, including uncertainty as to the treatment of digital assets held by a custodian in an insolvency proceeding. Any of these developments could increase the cost of, or reduce access to, custodial services for Bitcoin and could adversely affect our ability to hold or transact in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Regulatory change reclassifying Bitcoin as a security could lead to our classification as an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investment company</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under the Investment Company Act and could adversely affect the market price of Bitcoin and the market price of our listed securities. Any such regulatory change could also require us to institute burdensome regulatory requirements, and our activities may be restricted. We are not subject to the legal and regulatory obligations that apply to investment companies such as mutual funds and exchange-traded funds, or to obligations applicable to investment advisers, which could pose risks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are concentrated in our Bitcoin holdings. The CFTC has asserted regulatory authority over Bitcoin and courts have generally accepted that Bitcoin falls under the CFTC’s purview for commodities regulation. In March 2026, the SEC issued an interpretation, accompanied by related guidance from the CFTC, in which the SEC concluded that, based on its understanding of their characteristics, terms and functions as of the date of that release, certain crypto assets, including Bitcoin, are digital commodities that are not themselves securities for purposes of the federal securities laws. That interpretation does not supersede or replace the judicial test used to determine whether a contract, transaction or scheme is an investment contract, is based on the SEC’s current understanding of the crypto asset markets, and is subject to refinement, revision or withdrawal by the SEC. If the characteristics, terms or functions of Bitcoin change, if applicable law or judicial interpretations change, or if the SEC were to revise its interpretation or otherwise determine that Bitcoin is a security, we could be classified as an “investment company” under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which would subject us to significant additional regulatory controls, fines or other penalties that could have a material adverse effect on our ability to execute on our Bitcoin strategy and our business and operations, and may also require us to substantially change or restructure the manner in which we conduct our business, including discontinuing certain products or services. We cannot assure investors that, under certain conditions, changed circumstances, or changes in the law, we may not become subject to the Investment Company Act or other burdensome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to become subject to the legal and regulatory obligations that apply to investment companies such as mutual funds and ETFs, or to obligations applicable to investment advisers, the costs of compliance could be burdensome and could prevent us from executing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w:t>
      </w:r>
      <w:r>
        <w:rPr>
          <w:rFonts w:ascii="Times New Roman;Times;Serif" w:hAnsi="Times New Roman;Times;Serif"/>
          <w:b w:val="false"/>
          <w:i w:val="false"/>
          <w:caps w:val="false"/>
          <w:smallCaps w:val="false"/>
          <w:sz w:val="20"/>
          <w:u w:val="single"/>
        </w:rPr>
        <w:t>ETFs</w:t>
      </w:r>
      <w:r>
        <w:rPr>
          <w:rFonts w:ascii="Times New Roman;Times;Serif" w:hAnsi="Times New Roman;Times;Serif"/>
          <w:b w:val="false"/>
          <w:i w:val="false"/>
          <w:caps w:val="false"/>
          <w:smallCaps w:val="false"/>
          <w:sz w:val="20"/>
        </w:rPr>
        <w:t>”) and their directors and management are subject to extensive regulation as “investment companies” and “investment advisers,” as applicable, under U.S. federal and state law; this regulation is intended for the benefit and protection of investors. We are not subject to, and do not otherwise voluntarily comply with, these laws and regulations. This means, among other things, that the execution of or changes to our policy establishing Bitcoin as our primary treasury reserve asset (the “</w:t>
      </w:r>
      <w:r>
        <w:rPr>
          <w:rFonts w:ascii="Times New Roman;Times;Serif" w:hAnsi="Times New Roman;Times;Serif"/>
          <w:b w:val="false"/>
          <w:i w:val="false"/>
          <w:caps w:val="false"/>
          <w:smallCaps w:val="false"/>
          <w:sz w:val="20"/>
          <w:u w:val="single"/>
        </w:rPr>
        <w:t>Treasury Reserve Policy</w:t>
      </w:r>
      <w:r>
        <w:rPr>
          <w:rFonts w:ascii="Times New Roman;Times;Serif" w:hAnsi="Times New Roman;Times;Serif"/>
          <w:b w:val="false"/>
          <w:i w:val="false"/>
          <w:caps w:val="false"/>
          <w:smallCaps w:val="false"/>
          <w:sz w:val="20"/>
        </w:rPr>
        <w:t>”) or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it may pursue, and has the power to change our current policies, including our strategy of acquiring and holding Bitcoin. Registration under, and compliance with, the Advisers Act could be costly and could divert attention of us and our directors. If registration is required, there can be no assurance that necessary approvals will be obtained, or that statutory, regulatory, judicial, or administrative interpretations of existing laws and regulations will not in the future impose more comprehensive or stringent requirements on us and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strategy exposes us to risk of non-performance by counterparties, including in particular risks related to our custodians.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custody arrangements we have entered into. A series of relatively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among others, and the filing and subsequent settlement of a civil fraud lawsuit by the New York Attorney General against Genesis Global Capital, its parent company Digital Currency Group, Inc., and its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pursue strategies to generate income or liquidity from our Bitcoin holdings, such as lending, staking, or entering into other arrangements, which could significantly increase our exposure to counterparty, credit,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associated with the custody of our Bitcoin, we may from time to time pursue strategies to generate income or liquidity from our Bitcoin holdings, including lending Bitcoin to third parties, entering into repurchase or derivative arrangements, staking assets (including other cryptocurrency assets, although Bitcoin itself does not natively support staking), or using our holdings in other ways that may involve the transfer or encumbrance of digital assets. These strategies inherently involve heightened counterparty risk, particularly where our Bitcoin is transferred to or held by third parties for purposes of collateralization, lending, or income generation. Any such arrangements could expose us to the risk of loss in the event of the counterparty’s default, insolvency, fraud, or mismanagement. In addition, these activities may subject us to complex legal, regulatory, and tax regimes that continue to evolve and remain uncertain. If a counterparty fails to return our Bitcoin as expected, or if our rights in such arrangements are not enforceable in the event of insolvency or other adverse proceedings, we could suffer substantial losses. These risks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treatment of staking remains subject to further development and change. In March 2026, the SEC issued an interpretation, accompanied by related guidance from the CFTC, addressing the status under the federal securities laws of certain protocol staking activities on proof-of-stake networks, including self staking, self-custodial staking directly with a third party, custodial arrangements and liquid staking, as well as certain ancillary services. The SEC concluded that those activities, conducted in the manner and under the circumstances described in that release, do not involve the offer and sale of a security. That interpretation supersedes prior statements of the SEC staff on these topics, including the statements issued by the Division of Corporation Finance on May 29, 2025 and August 5, 2025. The interpretation is nonetheless limited to the activities and circumstances it describes. It does not address “restaking,” and it does not extend to arrangements in which the service provider determines whether, when or how much of a customer’s assets to stake, or guarantees or otherwise sets the amount of rewards. The interpretation also does not supersede or replace the judicial test used to determine whether a contract, transaction or scheme is an investment contract, is based on the SEC’s current understanding of the crypto asset markets, and is subject to refinement, revision or withdrawal, including in response to public comment. Staking arrangements also remain subject to state, tax and non-U.S. requirements that continue to develop, and a change in law, judicial interpretation or regulatory policy could subject staking arrangements to registration or other requirements under the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staking often involves the risk of “slashing,” a mechanism by which staked assets may be forfeited due to network rule violations or technical errors. Staked assets may also be subject to bonding and unbonding periods, lock-up periods or delayed withdrawal windows, limiting liquidity and financial flexibility. Staking typically requires reliance on third-party custodians or validator infrastructure, increasing exposure to cybersecurity threats, loss of access to digital wallets, or operational failures. These risks, combined with the evolving and complex nature of staking protocols, could result in asset loss, reduced returns, or other adverse effects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a substantial portion of our total assets consists of Bitcoin, a prolonged decline in the market price of Bitcoin could cause us to fall below Nasdaq’s continued listing standards for minimum stockholders’ equity or market value of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total assets is comprised of Bitcoin, and as a result, the value of our assets will be highly sensitive to fluctuations in the market price of Bitcoin. Nasdaq’s continued listing standards require listed companies to maintain certain minimum levels of stockholders’ equity and market value of listed securities. If the market price of Bitcoin were to experience a prolonged or severe decline, the value of our Bitcoin holdings - and consequently, our total assets and stockholders’ equity - could decrease substantially. Such a decline could cause us to fall below the minimum requirements for continued listing on Nasdaq, including the minimum stockholders’ equity or market value of listed securities. If we were to fail to satisfy these continued listing standards, Nasdaq could initiate delisting proceedings, which would likely have a material adverse effect on the liquidity and market price of our Common Stock. Delisting could also impair our ability to access capital markets, attract and retain investors, and execute our business strategy. Even the risk of potential delisting could negatively impact investor confidence and the value of our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developments in the cryptocurrency industry - including fraud, cybercrime or platform failures - may result in unfavorable publicity and could impact investor sentiment with respect to us even if we are not directly involved in any of the reported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industry has been subject to a number of high-profile negative developments, including instances of fraud, theft, cyberattacks, regulatory enforcement actions, and failures or insolvencies of major trading platforms and custodians. Even if we are not directly involved in or affected by such events, negative publicity and heightened scrutiny of the cryptocurrency industry as a whole could adversely impact investor sentiment toward companies with significant exposure to digital assets, including ours. For example, reports of security breaches, mismanagement, or criminal activity at other cryptocurrency companies or exchanges may lead to increased concerns about the safety and legitimacy of digital assets generally, which could result in reduced demand for our Common Stock, increased volatility in our share price, and greater difficulty in raising capital or maintaining business relationships. In addition, negative industry developments may prompt regulatory authorities to impose stricter requirements or oversight, which could increase our compliance costs and operational risks. The perception of heightened risk in the cryptocurrency sector, regardless of our actual involvement or risk profile, could therefore have a material adverse effect on our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engage in staking activities with respect to digital assets that we hold, which could expose us to significant risks, including regulatory, operational, and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Staking involves committing digital assets to support the operations of a blockchain network, including transaction validation and governance, in exchange for potential rewards. The regulatory treatment of staking remains uncertain, but the SEC recently issued a statement providing that certain cryptoasset staking activities in connection with proof-of-stake networks do not create investment contracts that would require registration under the federal securities laws. Specifically, the SEC’s Division of Corporation Finance issued a statement on May 29, 2025, stating that protocol staking activities, such as self-staking and custodial staking, are not considered investment contracts under the Howey test. This means that these activities do not involve the offer or sale of securities and are not subject to registration requirements under federal securities laws. However, this statement is narrowly framed and fact-dependent, and does not address all variations of staking, including “liquid staking” and “restaking.” Additionally, the SEC statement is non-binding and does not foreclose contrary SEC guidance or enforcement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staking often involves the risk of “slashing,” a mechanism by which staked assets may be forfeited due to network rule violations or technical errors. Staked assets may also be subject to lock-up periods or delayed withdrawal windows, limiting liquidity and financial flexibility. Furthermore, staking typically requires reliance on third-party custodians or validator infrastructure, increasing exposure to cybersecurity threats, loss of access to digital wallets, or operational failures. These risks, combined with the evolving and complex nature of staking protocols, could result in asset loss, reduced returns, or other adverse effects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the protocols underlying blockchain networks, including soft forks and hard forks, may result in significant disruptions, chain splits, or divergence in asset values, any of which could materially and adversely affect the value of our digital asset holdings and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networks, such as Bitcoin, operate on open-source protocols that are not centrally governed. As a result, changes to these protocols - whether through “soft forks” that maintain backward compatibility or “hard forks” that create incompatible versions - are typically initiated and adopted through community consensus. For certain changes, such as soft forks, miners may signal their support with hash power, but ultimate enforcement of rule changes is determined by the node operators who validate transactions and blocks. If a substantial portion of nodes rejects a proposed change, especially in the context of a hard fork, the network may experience a chain split in which two or more divergent versions of the blockchain emerge.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chain splits can lead to operational disruptions, security vulnerabilities, or significant uncertainty regarding which blockchain version will be recognized as the “main” chain. In the event of a fork, we may hold or receive assets on multiple chains, which could result in unexpected tax, legal, or accounting consequences, or may expose us to technical or custodial risks. Additionally, forks can cause volatility in the price and liquidity of digital assets held by us, particularly if there is a lack of consensus among network participants or divergence in community support, market acceptance, or exchange listings. These risks could adversely impact the value of our digital assets, impair our ability to generate revenue or pursue our business strategies, and result in increased compliance, legal, or operational costs.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volatile and decline materially as a result of volatility in Bitcoin or the digital asset markets generally, or for other reasons. You should be aware that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is likely to be volatile. The stock market has recently experienced and in the future may experience extreme volatility. This volatility has often been unrelated or disproportionate to the operating performance of particular companies. You may not be able to resell your shares of our Common Stock at an attractive price due to a number of factors such as the following: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performance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our credit rating being downgraded;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or annual earnings or those of other companies in our industry compared to market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that impact demand for our future products and/or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announcements concerning our business, our customers’ businesses or our competitors’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or other public announcements and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reaction to our reduced disclosure and other requirements as a result of being an “emerging growth company” under the JOBS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our public float;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Bitcoin, our principal asset;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by or changes in financial estimates by securities analysts or failure to meet their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industry perception of our success, or lack thereof, in pursuing our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actions by us or our competitors, such as acquisitions or restructurings;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which adversely affect our industry or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protection laws, privacy or data breaches, or the loss of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senior management or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exchanges or sales, or expected issuances, exchanges or sales of our Common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of our Common Stock pursuant to pre-approved buyback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dividend policy;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comply with regulatory requirements, including those related to governance and control requirements in particular jurisdictions, international sanctions or a change in regulations or enforcement policies that adversely affects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resolution of new or pending investigation, regulatory action or litigation against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market, economic and political conditions in the United States and other global economies or financial markets, including those resulting from inflation and related monetary policy in response to inflation, natural disasters, terrorist attacks, acts of war and responses to such events.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Our share price may be exposed to additional risks because our business will become a public company through a “de-SPAC” transaction. There has been increased focus by government agencies on such transactions, and we expect that increased focus to continue. We may be subject to increased scrutiny by the SEC and other government agencies on holders of our securities as a result, which could adversely affect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timely raise capital in the future may be limited, or may be unavailable on acceptable terms, if at all. Our failure to raise capital when needed could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whether we will generate sufficient cash through our provision of Bitcoin products or the active management of our Bitcoin holdings to fund future operations or growth of our business. Additional financing may not be available on favorable terms, if at all. If adequate funds are not available on acceptable terms, we may be unable to invest in future growth opportunities, which could harm our business, operating results and financial condition. We incurred debt at Closing pursuant to the issuance of the Convertible Notes, and may from time to time incur additional debt in order to further our Bitcoin acquisition strategy. If we incur additional debt, the debt holders could also have rights senior to holders of our Common Stock to make claims on our assets. The terms of any debt could restrict our operations, including our ability to pay dividends on our Common Stock. As a result, holders of our Common Stock will bear the risk of future issuances of debt securities reducing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Common Stock will experience dilution in the future due to the exercise of outstanding Warrants, any conversion of the Convertible Notes, the issuance of shares of Common Stock under our equity incentive plan, the issuance of shares of Common Stock in connection with our acquisition of CFO Silvia, including any earnout shares, and any future issuances of our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outstanding Warrants and Convertible Notes. The number of shares of Common Stock issuable upon exercise of the Warrants or conversion of the Convertible Notes may increase, and the applicable exercise or conversion price may decrease, as a result of anti-dilution or other adjustment provisions contained in those instruments, including in connection with stock splits, stock dividends, certain distributions or issuances of Common Stock at prices below the applicable exercise or conversion price, and any such adjustment would increase the dilution to our existing stockholders. In addition, on April 6, 2026, in connection with the closing of our acquisition of CFO Silvia, we issued 7,516,951 shares of Common Stock as closing consideration and deposited 900,000 shares of Common Stock into escrow, and we may be required to issue up to 9,000,000 additional shares of Common Stock as earnout consideration if certain conditions are satisfied. The shares issued as closing consideration and deposited into escrow are outstanding, and the dilution resulting from those shares has already occurred. Any earnout shares would be issued after the date of this prospectus and would result in additional dilution to our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approval by our stockholders of an amendment to our 2025 Equity Incentive Plan (the “</w:t>
      </w:r>
      <w:r>
        <w:rPr>
          <w:rFonts w:ascii="Times New Roman;Times;Serif" w:hAnsi="Times New Roman;Times;Serif"/>
          <w:b w:val="false"/>
          <w:i w:val="false"/>
          <w:caps w:val="false"/>
          <w:smallCaps w:val="false"/>
          <w:sz w:val="20"/>
          <w:u w:val="single"/>
        </w:rPr>
        <w:t>Incentive Plan</w:t>
      </w:r>
      <w:r>
        <w:rPr>
          <w:rFonts w:ascii="Times New Roman;Times;Serif" w:hAnsi="Times New Roman;Times;Serif"/>
          <w:b w:val="false"/>
          <w:i w:val="false"/>
          <w:caps w:val="false"/>
          <w:smallCaps w:val="false"/>
          <w:sz w:val="20"/>
        </w:rPr>
        <w:t>”) at that annual meeting, the aggregate share reserve under that plan is 24,733,020 shares of Common Stock, and on May 18, 2026 we filed a registration statement on Form S-8 registering the additional 12,000,000 shares approved at that annual meeting of Common Stock issuable under that plan. Awards under our equity incentive plan may be granted with exercise, purchase or reference prices below the then-current market price of our Common Stock, and shares registered on Form S-8 are generally available for resale in the public market upon issuance, subject to applicable restrictions for our affiliates. Our board of directors may also adopt additional equity compensation plans, seek stockholder approval to increase the number of shares reserved under our existing plan, or grant equity awards outside of that plan, including inducement awards in connection with acquisitions or new hires.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pursue additional acquisitions and may pay all or a portion of the consideration for any such transaction in shares of Common Stock or other equity or equity-linked securities, including through escrow, holdback, contingent consideration or earnout arrangements that result in the issuance of additional shares after closing. Where the number of shares issuable in a transaction is determined by reference to the trading price of our Common Stock, a decline in that price would increase the number of shares issued and the resulting dilution to our existing stockholders. We may also assume, or issue replacement awards in respect of, equity awards, warrants or convertible or other equity-linked instruments of an acquired company, which would further increase the number of shares of Common Stock issuable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issue additional shares of Common Stock or other equity or equity-linked securities from time to time in public or private offerings, including registered offerings under an effective shelf registration statement, sales under an “at-the-market” offering program, or privately negotiated transactions, in order to raise capital, to repay, refinance or satisfy indebtedness, including the Convertible Notes, or for other corporate purposes. Any such securities may be issued at prices below the then-current market price of our Common Stock and may have rights, preferences or privileges senior to those of our Common Stock. We may not be able to sell such securities on terms favorable to us,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our Warrants, the conversion of the Convertible Notes, the issuance of any earnout shares, the issuance of shares of Common Stock under our equity incentive plan and the issuance of additional shares of our Common Stock or other equity-linked securities will dilute the ownership interests of our existing stockholders and may adversely affect the market price of our Common Stock. In addition, the sale of a substantial number of shares of Common Stock issued or issuable upon exercise, conversion, vesting or settlement of these securities, or the perception that such sales could occur, could place downward pressure on the market price of our Common Stock, whether or not those sales actually occur. Holders of the Convertible Notes may also engage in hedging or short sale transactions in our Common Stock, which could have a similar effect. These issuances may also reduce our earnings or net asset value per share, may make it more difficult for us to raise capital on favorable terms and may reduce the voting power and relative ownership percentage of our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additional shares or convertible securities by us could make it difficult for another company to acquire us, may dilute the ownership of holders of our Common Stock and could adversely affect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obtain additional financing and may issue additional shares and/or offer debt or other equity securities, including senior or subordinated notes, debt securities convertible into equity and/or preferred shares. Issuing additional shares of our Common Stock, other equity securities, and/or securities convertible into equity may dilute the economic and voting rights of our existing shareholders, reduce the market price of outstanding shares of our Common Stock, or both.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The potential issuance of additional securities may delay or prevent a change in control of us, discourage bids for our securities at a premium to the market price, and materially and adversely affect the market price and the voting and other rights of the holders of our securities, including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and exercise of any options under any stock option plans that we may implement may reduce the market price of our Common Stock and dilute their percentage ownership.</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significant costs as a result of being a public company, including additional legal, accounting, insurance and other expenses, as well as costs associated with public company reporting requirements, including the ability to maintain an effective system of internal controls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will continue to incur, significant legal, accounting, insurance and other expenses, including costs associated with public company reporting requirements. We also will incur significant costs associated with complying with the requirements of the Sarbanes-Oxley Act, the Dodd-Frank Wall Street Reform and Consumer Protection Act of 2010, and related rules implemented by the SEC and Nasdaq, or any other national securities exchange on which we may list our securities. These laws and regulations could make it more difficult or costly for us to obtain certain types of insurance, including directors’ and officers’ liability insurance, and we may be forced to accept reduced policy limits and coverage or incur substantially higher costs to obtain the same or similar coverage. Additionally, there can be no assurance that we will comply with all relevant statutory and regulatory requirements or that deficiencies in our internal controls and compliance will not arise, or that we will be able to implement, and continue to maintain, adequate measures to rectify or mitigate any such deficiencies in our internal controls, in a timely manner or at all. We cannot assure you that there will be no instances of inadvertent non-compliance with statutory requirements, which may subject us to regulatory action, including monetary penalties, which may adversely affect our business and reputation. Furthermore, these laws and regulations could also make it more difficult for us to attract and retain qualified persons to serve on our Board or board committees or as executive officers. If we are unable to satisfy our obligations as a public company, we could be subject to delisting of our Common Stock, fines, sanctions and other regulatory action and potentially civil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and operating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have limited experience managing and operating a U.S. publicly traded company, interacting with U.S. public company investors, and complying with the increasingly complex laws pertaining to U.S. public companies. Being a U.S. public company subjects us to significant regulatory oversight and reporting obligations under the U.S. federal securities laws and the continuous scrutiny of securities analysts and investors. These obligations and constituents require significant attention from our senior management and could divert their attention away from the day-to-day management of our business. We may not have adequate personnel with the appropriate level of knowledge, experience and training in the accounting policies, practices or internal control over financial reporting required of U.S. public companies, and, as described below, we have identified a material weakness in our internal control over financial reporting. The development and implementation of the standards and controls necessary for us to achieve the level of accounting standards required of a public company may require costs greater than expected. To support our operations as a U.S. public company, we plan to recruit additional qualified employees or external consultants with relevant experience, which will increase our operating costs in future periods. Should any of these factors materialize,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and may identify additional material weaknesses in the future. If we are unable to remediate the material weakness and maintain effective internal controls, the accuracy and timeliness of our financial reporting may be adversely affected, which could cause the market price of our Common Stock to decline, lessen investor confidence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rules governing the standards that must be met for our management to assess our internal control over financial reporting are complex and require significant documentation, testing and possible remediation, and testing and maintaining internal controls may divert our management’s attention from other matters that are important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for the period from June 17, 2025 (inception) through December 31, 2025, we identified a material weakness in our internal control over financial reporting relating to (i) inadequate segregation of duties and ineffective risk assessment and (ii) insufficient written policies and procedures for accounting and financial reporting with respect to the requirements and application of both generally accepted accounting principles and SEC guidelines.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 our management, with the participation of our Chief Executive Officer and our Chief Financial Officer, concluded that our disclosure controls and procedures were not effective as of December 31, 2025 or as of June 30, 2026. Our Annual Report on Form 10-K for the period ended December 31, 2025 did not include a report of management’s assessment regarding internal control over financial reporting, or an attestation report of our independent registered public accounting firm, in reliance on the transition period established by the rules of the SEC for newly public companies. We will be required to furnish a report of management’s assessment of the effectiveness of our internal control over financial reporting beginning with our Annual Report on Form 10-K for the fiscal year ending December 31, 2026. For so long as we remain an emerging growth company, and for so long as we otherwise remain a non-accelerated filer, we will not be required to obtain an attestation report from our independent registered public accounting firm on the effectiveness of our internal control over financial reporting under Section 404(b) of the Sarbanes-Oxley Act. At such time as we are first required to obtain such an attestation report, our independent registered public accounting firm may be unable to issue an unqualified opinion if any material weakness has not then been 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with oversight from our audit committee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are in the process of developing and implementing a remediation plan specific to the material weakness, which is expected to include the adequate segregation of duties, effective risk assessment and the implementation of written policies and procedures for accounting and financial reporting. However, the material weakness will not be considered remediated until the applicable remedial controls operate for a sufficient period of time and management has concluded, through testing, that the related controls are operating effectively. Our remediation efforts are expected to require us to hire additional accounting, finance and internal audit personnel with public company reporting and technical accounting experience, to engage outside advisors and to implement new accounting and financial reporting systems, each of which will increase our operating expenses. Competition for personnel with these skills is intense, and we may be unable to hire or retain them on acceptable terms or at all. We can provide no assurance that the measures we take will be sufficient to remediate the material weakness, that we will complete our remediation within any particular timeframe, or that additional material weaknesses or significant deficiencies will not be identified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consist of Bitcoin held through third-party custodians, and our internal control over financial reporting depends in part on controls over the custody, transfer, reconciliation and periodic verification of our Bitcoin holdings, on the fair value measurement of those holdings and on our ability to obtain and rely upon control reports of our custodians. A deficiency in those controls, or in the controls of our custodians, could result in errors in our reported holdings or in the loss, theft or misappropriation of our Bitcoin, which may be irreversible and for which we may have limited or no recourse. In addition, we may exclude businesses that we acquire from the scope of our assessment of the effectiveness of our internal control over financial reporting for up to one year following the date of acquisition, and the internal controls of an acquired business may be less developed than our 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conclude on an ongoing basis that we have effective internal control over financial reporting in accordance with Section 404 of the Sarbanes-Oxley Act, or if our independent registered public accounting firm is unable, when it is required to do so, to issue an unqualified attestation report on the effectiveness of our internal control over financial reporting, investors could lose confidence in our reported financial information, which could have a material adverse effect on the trading price of our Common Stock. Failure to remediate the material weakness described above, or any material weakness identified in the future, or to implement or maintain other effective control systems required of public companies, could also result in material misstatements in our financial statements or in the restatement of previously issued financial statements, cause us to fail to meet our reporting obligations on a timely basis, subject us to regulatory scrutiny, SEC investigation or enforcement action and litigation by our stockholders, adversely affect our ability to satisfy the continued listing standards of Nasdaq, impair our eligibility to use short-form registration statements on Form S-3 and our ability to conduct registered offerings, including under any at-the-market offering program, and restrict our future access to the capital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timely and effectively implement controls and procedures required by Sections 302 and 404(a) of the Sarbanes-Oxley Act that are applicable to us could have a material adverse effect on our business, financial condition, results of operations, cash flow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and the rules and regulations of The Nasdaq Global Market. Section 302 of the Sarbanes-Oxley Act requires, among other things, that we report on and evaluate the effectiveness of our disclosure controls and procedures in our quarterly and annual reports. Section 404 of the Sarbanes-Oxley Act requires us to evaluate the effectiveness of our internal control over financial reporting as of the end of each fiscal year, including a management report assessing the effectiveness of our internal control over financial reporting. Our Annual Report on Form 10-K for the period ended December 31, 2025 did not include a report of management’s assessment regarding internal control over financial reporting in reliance on the transition period established by the rules of the SEC for newly public companies, and we expect that management’s report will be required beginning with our Annual Report on Form 10-K for the fiscal year ending December 31, 2026. Additionally, once we cease to be an emerging growth company, our independent registered public accounting firm will also be required to attest to the effectiveness of our internal control over financial reporting in each Annual Report on Form 10-K to be filed with the SEC. As described above, we have identified a material weakness in our internal control over financial reporting, and we may in the future identify additional material weaknesses or significant deficiencies that we may be unable to remedy before the requisite deadline for those reports. Our ability to comply with the annual internal control reporting requirements will depend on the effectiveness of our financial reporting and data systems and controls across our company. We expect these systems and controls to involve significant expenditures and to become increasingly complex as our business grows. To effectively manage this complexity, we will need to continue to improve our operational, financial and management controls and our reporting systems and procedures.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or omissions in our financial statements, which could adversely affect our business, invite regulatory scrutiny, and reduce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satisfy the requirements for continued listing on Nasdaq, including its independent director and audit committee requirements, and any failure to do so could result in the delisting of our Common Stock and our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To maintain that listing, we must satisfy Nasdaq’s continued listing requirements, including corporate governance requirements relating to the composition of our Board of Directors and our Audit Committee. From time to time, we may not be in compliance with one or more requirements, as occurred following a director resignation in January 2026 that is described in our Current Report on Form 8-K filed with the SEC on January 23, 2026. Although we regained compliance and that matter has been closed by Nasdaq, we cannot assure you that we will remain in compliance with all applicable Nasdaq requirements in the future. If we fail to satisfy Nasdaq’s continued listing requirements and do not timely regain compliance, Nasdaq could commence suspension or delisting procedures, which could reduce the liquidity and market price of our Common Stock and impair our ability to raise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are an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emerging growth company.</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The reduced public company reporting requirements applicable to emerging growth companies may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the JOBS Act. While we remain an emerging growth company, we will be permitted to, and plans to, rely on exemptions from certain disclosure requirements that are applicable to other public companies that are not emerging growth companies. These provisions include: (i) an exemption from compliance with the auditor attestation requirement in the assessment of our internal control over financial reporting pursuant to Section 404 of Sarbanes-Oxley, (ii) not being required to comply with any requirement that may be adopted by the Public Company Accounting Oversight Board regarding mandatory audit firm rotation or a supplement to the auditor’s report providing additional information about the audit and the financial statements, (iii) reduced disclosure obligations regarding executive compensation arrangements in our periodic reports, registration statements and proxy statements, and (iv) exemptions from the requirements of holding a non-binding advisory vote on executive compensation and shareholder approval of any golden parachute payments not previously approved. As a result, the information we provide will be different than the information that is available with respect to other public companies that are not emerging growth companies.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our Common Stock less attractive if we rely on these exemptions. If some investors find our Common Stock less attractive as a result, there may be a less active trading market for Common Stock. The market price of our Common Stock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remain an emerging growth company until the earlier of (i) the last day of the fiscal year (1) following the fifth anniversary of the consummation of the Business Combination, (2) in which we have total annual gross revenue of at least $1.235 billion, or (3) in which we are deemed to be a large accelerated filer, which means the market value of our Common Stock that is held by non-affiliates equaled or exceeded $700 million as of the end of that year’s second fiscal quarter, and (ii) the date on which we have issued more than $1.00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as the sole and exclusive forum for certain types of actions and proceedings that may be initiated by our stockholders, and also provide that the federal district courts will be the exclusive forum for resolving any complaint asserting a cause of action arising under the Securities Act, each of which could limit the stockholders’ ability to obtain a favorable judicial forum for disputes with us or our directors, officers, employees, agents 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the sole and exclusive forum for (a) any derivative action or proceeding brought on behalf of us, (b) any action asserting a claim for breach of a fiduciary duty owed by any current or former director, officer, employee, agent or our stockholder to us or our stockholders, (c) any action asserting a claim arising pursuant to any provision of the DGCL, our Charter, or our Bylaws, or (d) any action asserting a claim governed by the internal affairs doctrine, shall be the Court of Chancery of the State of Delaware (or, if the Court of Chancery lacks jurisdiction over any such action or proceeding, then another court of the State of Delaware or, if no court of the State of Delaware has jurisdiction, then the United States District Court for the District of Delaware). Our Charter will also provide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Our exclusive forum provision does not apply to a complaint asserting a cause of action arising under the Exchange Act or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choice of forum provisions may limit a stockholder’s ability to bring a claim in a judicial forum that it finds favorable for disputes with us or our directors, officers, employees, agents or stockholders, which may discourage such lawsuits against us and such persons. A stockholder that is unable to bring a claim in the judicial forum of our choosing may be required to incur additional costs in the pursuit of actions which are subject to the exclusive forum provisions described above. We believe these choice of forum provisions may benefit us by providing increased consistency in the application of the DGCL and federal securities laws by chancellors and judges, as applicable, particularly experienced in resolving corporate disputes, efficient administration of cases on a more expedited schedule relative to other forums, and protection against the burdens of multi-forum litigation. Our stockholders will not be deemed to have waived our compliance with the federal securities laws and the rules and regulations thereunder as a result of the choice of forum provisions included in our governing documents. If a court were to find these provisions of our governing documents inapplicable to, or unenforceable in respect of, one or more of the specified types of actions or proceedings, we may incur additional costs associated with resolving such matters in other jurisdictions, which could adversely affect our financial condition, results of operations and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If securities or industry analysts do not publish research or reports about our business or publish negative reports, the market price of </w:t>
      </w:r>
      <w:r>
        <w:rPr>
          <w:rFonts w:ascii="Times New Roman;Times;Serif" w:hAnsi="Times New Roman;Times;Serif"/>
          <w:b w:val="false"/>
          <w:i w:val="false"/>
          <w:caps w:val="false"/>
          <w:smallCaps w:val="false"/>
          <w:sz w:val="20"/>
        </w:rPr>
        <w:t xml:space="preserve">our </w:t>
      </w:r>
      <w:r>
        <w:rPr>
          <w:rFonts w:ascii="Times New Roman;Times;Serif" w:hAnsi="Times New Roman;Times;Serif"/>
          <w:b/>
          <w:i/>
          <w:caps w:val="false"/>
          <w:smallCaps w:val="false"/>
          <w:sz w:val="20"/>
        </w:rPr>
        <w:t>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and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If one or more of the analysts who cover us downgrades our Common Stock or if our reporting results do not meet their expectations, the market price of our Common Stock could decline. Moreover, the market price of our Common Stock may decline after the Business Combination if we do not achieve the perceived benefits of the Business Combination as rapidly or to the extent anticipated by financial analysts, or the effect of the Business Combination on our financial results is not consistent with the expectations of financial analysts. Accordingly, holders of our Common Stock may experience a loss as a result of a decline in the market price of our Common Stock following the Business Combination. In addition, a decline in the market price of our Common Stock following the consummation of the Business Combination could adversely affect our ability to issue additional securities and to obtain additional financing in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material litigation, including individual and class action lawsuits, as well as investigations and enforcement actions by regulators and governmental authorities. These matters are often expensive and time consuming, and, if resolved adversely, could harm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become subject to claims, arbitrations, individual and class action lawsuits with respect to a variety of matters, including employment, consumer protection, advertising and securities. In addition, we may from time to time become subject to government and regulatory investigations, inquiries, actions or requests, other proceedings and enforcement actions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payments to satisfy judgments, fines or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outside counsel, advisor and consultant fees and costs, including costs for monitorships or other compliance requirements that last beyond the date of the initial regulatory or other governmental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administrative costs, including arbitration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compliance and licensure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or non-renewal of then-existing licenses or authorizations, or prohibition from or delays in obtaining additional licenses or authorizations, required for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productivity and high demands on employee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sanctions or consent decrees;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certain employees, including members of our executive team;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barring of certain employees from participating in our business in whole or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that restrict our business or prevent us from offering certain products 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business model and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deliver on our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to planned transactions, product launches or improvements;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brand and reputation.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outcome, any such matters can have an adverse impact, which may be material, on our business, operating results or financial condition because of legal costs, diversion of management resources, reputational damage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Anthony Pompliano and other members of our senior management team and the loss of key personnel could have a material adverse effect on our business, operations, financial condition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services of Anthony Pompliano, our Chief Executive Officer. Although Mr. Pompliano spends a majority of his business time and attention on our Company and expects to remain highly active in our management, he does not expect to devote his full time and attention to us. Mr. Pompliano continues to lead Professional Capital Management, to serve as Chief Executive Officer and a member of the board of directors of ProCap Acquisition Corp, a special purpose acquisition company, to serve as Chief Executive Officer of the Investment Manager, and portfolio manager of the Company’s ETFs, among other business ventures. As a result, he may devote less time to us than if he was not engaged in other business activities. While Mr. Pompliano owes fiduciary duties to our stockholders, he may also owe fiduciary duties to shareholders of other companies with which he may be affiliated. Mr. Pompliano is not bound by an employment agreement for any specific term and, if we were unable to retain him, we may not be able to successfully attract and retain a qualified replacement. Furthermore, the loss of any key personnel could impact our ability to maintain relationships with customers, partners, and investors, or to execute our business strategy effectively, particularly if a suitable replacement cannot be found in a timely manner. The unanticipated departure of any of our key executives could cause uncertainty among investors and employees, potentially leading to stock price volatility or operational challenges. Additionally, the absence of our key executives could result in significant management and operational gaps that could take time to address, which could negatively affect our ability to meet business objectives.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engaged in transactions with our affiliates and we expect to do so in the future. The terms of such transactions and the resolution of any conflicts that may arise may not always be in our or our stockholders’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transactions, and we expect to continue to engage in transactions, with affiliated companies. Related party transactions can create the possibility of conflicts of interest with regard to our management. Such a conflict could cause an individual in our management to seek to advance his or her economic interests above ours. Further, the appearance of conflicts of interest created by related party transactions could impair the confidence of our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 April 6, 2026, the Company completed its acquisition of CFO Silvia, an entity whose majority owner was Inflection Points Inc. (“Inflection Points”), an entity in which our Chief Executive Officer and Chairman, is the Chief Executive Officer, in which pursuant to the Agreement and Plan of Merger, dated as of February 9, 2026 (the “Merger Agreement”), by and among the Company, Silvia Merger Sub, Inc., a Delaware corporation and direct wholly-owned subsidiary of the Company (“Merger Sub”), CFO Silvia, Inflection Points, and Shain Noor. Pursuant to the Merger Agreement, Merger Sub merged with and into CFO Silvia, with CFO Silvia surviving as a direct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Legacy ProCap entered into an Investment Consulting and Marketing Services Agreement (the “</w:t>
      </w:r>
      <w:r>
        <w:rPr>
          <w:rFonts w:ascii="Times New Roman;Times;Serif" w:hAnsi="Times New Roman;Times;Serif"/>
          <w:b w:val="false"/>
          <w:i w:val="false"/>
          <w:caps w:val="false"/>
          <w:smallCaps w:val="false"/>
          <w:sz w:val="20"/>
          <w:u w:val="single"/>
        </w:rPr>
        <w:t>Services Agreement</w:t>
      </w:r>
      <w:r>
        <w:rPr>
          <w:rFonts w:ascii="Times New Roman;Times;Serif" w:hAnsi="Times New Roman;Times;Serif"/>
          <w:b w:val="false"/>
          <w:i w:val="false"/>
          <w:caps w:val="false"/>
          <w:smallCaps w:val="false"/>
          <w:sz w:val="20"/>
        </w:rPr>
        <w:t>”) on June 23, 2025 with Professional Capital Management, an entity owned and controlled by Mr. Pompliano, our Chief Executive Officer. Under the Services Agreement, Professional Capital Management provides consulting and marketing services to Legacy ProCap. The term of the Services Agreement is four years and automatically renews annually thereafter; however, the Services Agreement may be terminated by either party upon 30 days’ written notice. The purpose of the Services Agreement is for Professional Capital Management to provide certain services and resources to support the growth of Legacy ProCap and us. The services that Professional Capital Management provides through the Services Agreement are different than the services Mr. Pompliano provides in his role as Chief Executive Officer of Legacy ProCap and our Company. As we mature, we expect that we will use fewer of Professional Capital Management’s services pursuant to the Services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between CFO Silvia, Legacy ProCap, us, and other entities owned or controlled by Mr. Pompliano may raise potential conflicts of interest and could result in business arrangements that are not as favorable to Legacy ProCap or us as those with unrelated third parties. In particular, Mr. Pompliano will have significant influence over our operations and the interests of his other business ventures, including in Professional Capital Management, may conflict with our interests. These conflicts of interest could arise in situations where our business needs and Mr. Pompliano’s personal or other business interests diverge. If any such conflicts arise, they could harm our business or reputation, lead to regulatory scrutiny, or result in adverse financial or operational consequences. Although we have adopted policies and procedures intended to address such conflicts of interest, there can be no assurance that these measures will effectively mitigate all risks associated with related-party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 awards to our Chief Executive Officer and directors may expose us to reputational risk, stockholder discontent, dilution to existing holders of our Common Stock or litigation, which could have an adverse impact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Anthony Pompliano, and members of our board of directors will receive a significant portion of their compensation in the form of incentive-based equity awards that are subject to the achievement of specified performance metrics over multi-year periods. While these awards are designed to align incentives with long-term company performance and stockholder returns, the structure, size, or outcome of such awards may not be viewed as appropriately calibrated by stockholders, proxy advisory firms, or the general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Chief Executive Officer and directors receive substantial equity compensation due to the achievement of certain performance metrics that are perceived as insufficiently rigorous, misaligned with actual performance, or not reflective of broader stockholder value creation, we may be subject to negative publicity, or reputational damage. Additionally, we may face scrutiny from institutional investors or governance advocacy groups, which could impact investor sentiment and ultimately stock price.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actual or perceived misalignment in the design, disclosure, or approval of such compensation arrangements could increase the likelihood of stockholder derivative litigation, including claims of breach of fiduciary duty, corporate waste, or inadequate disclosure under securities laws. Even if such claims are without merit, defending against them could require significant time and result in substantial legal costs. Defense of any claim, any adverse judgment, or settlement could have a material adverse effect on our financial condition, business, or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issuance of equity awards to our Chief Executive Officer and directors will increase the number of outstanding shares of our Common Stock, which will dilute the ownership interests of existing stockholders. Such dilution may be significant depending on the size of the awards and future equity grants, and could adversely affect the market price of our Common Stock and the voting power of existing stockholders. Furthermore, because these awards may be structured to vest upon the achievement of performance metrics or service-based milestones, the timing and magnitude of such dilution may be unpredictable. Any such dilution could also make it more difficult for existing stockholders to realize future appreciation in the value of their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Excessive severance arrangements may discourage the timely termination of underperforming executives and could negatively impact our performance, governance practices,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we entered into severance arrangements with certain of our executive officers, including our Chief Executive Officer, Anthony Pompliano, that provide for significant payments and benefits upon termination of employment under specified circumstances. While these arrangements are intended to attract and retain experienced leadership, they may reduce our ability to remove executives whose performance does not meet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severance benefits payable upon termination are perceived to be excessive in light of the executive’s experience, performance or tenure, we may be disincentivized from pursuing termination due to the associated financial cost or potential public scrutiny. This could result in the continued employment of underperforming executives, which may hinder our ability to execute strategic initiatives, weaken operational effectiveness, and impair long-term value creation for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such arrangements may be criticized by stockholders, proxy advisory firms, or corporate governance advocates, particularly if the terms are viewed as misaligned with market practice or performance outcomes. This may lead to reputational harm, litigation, or increased scrutiny of our executive compensation practices. In some cases, these concerns may give rise to stockholder litigation alleging breaches of fiduciary duty or corporate waste. Defending against such actions could be costly and time-consuming, and an adverse outcome could materially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decision to compensate our Chief Executive Officer at a rate of $1 per year may expose us to legal and reputational risks under federal and New York State labor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compensate our Chief Executive Officer, Anthony Pompliano, at an annual salary of $1. While it is not uncommon for executives of growth-stage companies to forego cash compensation, and this arrangement is intended to reflect Mr. Pompliano’s personal commitment to us and is voluntarily undertaken, it is significantly below the minimum wage requirements under both the federal Fair Labor Standards Act (FLSA) and the New York State Labor Law. There is no legal exception that would allow us to not pay an executive at least minimum wage for all hours worked, plus potentially overtime pay for hours worked in excess of 40 hours per week.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Mr. Pompliano will receive other compensation from us in the form of incentive-based equity, there is a risk that regulatory authorities or courts could determine that our compensation arrangement does not meet the applicable legal standards. This could subject us to investigations, governmental agency audits, litigation, penalties, and potential back-pay, liquidated damages, and attorneys’ fees obligations. The annual salary of $1 is also insufficient with respect to satisfying standard employee withholdings and deductions, such as for certain insurances and statutory benefits (e.g., disability and paid family leave in New York). Moreover, any such actions could divert management’s attention, result in significant costs, and negatively impact our reputation with investors, regulators, and potential employees. Further, this compensation arrangement could generate negative public perception or scrutiny, particularly in light of broader concerns about labor practices and executive governance. Any adverse outcome from this arrangement could result in damages for unpaid wages, liquidated damages, civil penalties, interest, and attorney’s fees, which could materially and adversely affect our business, financial condition, results of operations, and reputation.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executive officers are active on social media, which may pose risks to our reputation, create regulatory or disclosure concerns, and impact the Common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maintain active personal or professional social media accounts, including on platforms such as X (formerly known as Twitter), LinkedIn, Instagram, and others. Although these individuals may not intend to speak on behalf of us, statements made on social media - whether related to our business or unrelated personal views - may nonetheless be attributed to us. This could result in reputational harm, increased media or regulatory scrutiny, or adverse reactions from investors, customers, or other stakeholders.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such communications are deemed to be incorrect, include material nonpublic information or are inconsistent with our public disclosures, we could face legal, regulatory, or investor relations challenges. We may also be required to address or clarify such statements, which could divert management’s attention, result in increased costs, and negatively impact the Common Stock price. While we will maintain disclosure controls and provide guidelines to our officers and directors, we cannot guarantee compliance at all times or prevent the dissemination of information that may adversely affect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coverage.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our share price could subject us to securities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shares of our Common Stock may be volatile and, in the past, companies that have experienced volatility in the market price of their shares have been subject to securities class action litigation. We may be the target of this type of litigation and investigations. Securities litigation against us could result in substantial costs and divert management’s attention from other business concerns, which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the Public Warrants at a time that is disadvantageous to holders, and the terms of the Public Warrants may be amended in a manner adverse to holders with the approval of holders of at least 50% of the then-outstanding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we may redeem the outstanding Public Warrants in whole and not in part at a price of $0.01 per Public Warrant, upon a minimum of 30 days prior written notice of redemption, if the closing price of our Common Stock equals or exceeds $18.00 per share (as adjusted for stock splits, stock capitalizations, reorganizations, recapitalizations and the like) for any 20 trading days within a 30-trading day period commencing at least 30 days after the completion of the Business Combination and ending three business days before we send the notice of redemption. If we call the Public Warrants for redemption, holders may be required to exercise their Public Warrants and pay the exercise price at a time when it may be disadvantageous for them to do so, to sell their Public Warrants at the then-current market price when they might otherwise wish to hold them, or to accept the nominal redemption price, which is likely to be substantially less than the market value of their Public Warrants at the time of redemption. We may not redeem the Public Warrants unless a registration statement under the Securities Act covering the issuance of the shares of Common Stock issuable upon exercise of the Public Warrants is then effective and a current prospectus relating to those shares is available throughout the applicable measurement period. The warrant agreement does not permit us to redeem the Public Warrants in reliance on an available exemption from registration in lieu of an effective registration statement.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warrant agreement governing the Public Warrants provides that the terms of the Public Warrants may be amended without the consent of any holder for specified purposes, including (i) curing any ambiguity or correcting any defective provision or mistake, including to conform the provisions of the A&amp;R Warrant Agreement to the description of the terms of the Public Warrants set forth herein, (ii) adjusting the provisions relating to cash dividends on our Common Stock as contemplated by the A&amp;R Warrant Agreement, (iii) adding or changing any provisions with respect to matters or questions arising under the A&amp;R Warrant Agreement that the parties deem necessary or desirable and that the parties deem not to adversely affect the rights of the registered holders of the Public Warrants, or (iv) providing for the Public Warrants to become exercisable, in connection with a reorganization, merger, consolidation or sale of substantially all of our assets, for the securities, cash or other property that a holder would have received in that transaction had it exercised its Public Warrant immediately prior to the transaction, in lieu of shares of Common Stock, and that all other modifications or amendments require the vote or written consent of holders of at least 50% of the then-outstanding Public Warrants. Accordingly, we may amend the terms of the Public Warrants in a manner adverse to a holder if holders of at least 50% of the then-outstanding Public Warrants approve the amendment, which could include increasing the exercise price of the Public Warrants, shortening the exercise period or decreasing the number of shares of Common Stock purchasable upon exercise of a Public Warrant. Any amendment to the terms of the Private Warrants or any working capital warrants, including the forfeiture or cancellation of any such warrants, requires the vote or written consent of holders of at least 50% of the Private Warrants, including the vote or written consent of Cohen Capital Markets and Clear Street.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Reports published by analysts, including projections in those reports that differ from our actual results, could adversely affect the price and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currently expects that securities research analysts will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our management expects research analyst coverage, if no analysts commence coverage of us, the trading price and volume for our Common Stock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or may not pay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declare and pay dividends in the future will be made at the discretion of our Board and will depend on, among other things, applicable law, regulations, restrictions, our respective results of operations, financial condition, cash requirements, contractual restrictions, our future projects and plans and other factors that our Board may deem relevant. In addition, our ability to pay dividends depends significantly on the extent to which we receive dividends and other distributions from our subsidiaries, and there can be no assurance that we will pay dividends. As a result, capital appreciation, if any, of our Common Stock will be an investor’s sole source of gain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fully consummated or that it will enhance long-term stockholder value, and share repurchases will diminish our cash and Bitcoin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our Board approved a share repurchase program (the “</w:t>
      </w:r>
      <w:r>
        <w:rPr>
          <w:rFonts w:ascii="Times New Roman;Times;Serif" w:hAnsi="Times New Roman;Times;Serif"/>
          <w:b w:val="false"/>
          <w:i w:val="false"/>
          <w:caps w:val="false"/>
          <w:smallCaps w:val="false"/>
          <w:sz w:val="20"/>
          <w:u w:val="single"/>
        </w:rPr>
        <w:t>2025 Repurchase Program</w:t>
      </w:r>
      <w:r>
        <w:rPr>
          <w:rFonts w:ascii="Times New Roman;Times;Serif" w:hAnsi="Times New Roman;Times;Serif"/>
          <w:b w:val="false"/>
          <w:i w:val="false"/>
          <w:caps w:val="false"/>
          <w:smallCaps w:val="false"/>
          <w:sz w:val="20"/>
        </w:rPr>
        <w:t>”) providing for the repurchase of up to $100 million of our outstanding shares of Common Stock. Under the 2025 Repurchase Program, we are authorized to repurchase shares of Common Stock through open market purchases, privately negotiated transactions, accelerated share repurchases or otherwise in accordance with applicable federal securities laws, including through Rule 10b5-1 trading plans and under Rule 10b-18 of the Exchange Act. In connection with the 2025 Repurchase Program, on December 12, 2025 we entered into an open market share repurchase agreement with TD Securities Inc., which has agreed to act as our non-exclusive agent to repurchase shares of Common Stock in the open market. During the three months ended June 30, 2026, we repurchased 2,570,974 shares of Common Stock for approximately $4.8 million, including commissions, at an average price of $1.85 per share, and during the six months ended June 30, 2026 we repurchased 5,238,030 shares of Common Stock for approximately $12.8 million, including commissions. As of June 30, 2026, approximately $84.4 million remained available under the 2025 Repurchase Program. As of June 30, 2026, we held 6,077,426 shares of Common Stock in treasury.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Repurchase Program does not obligate us to repurchase any shares of Common Stock, and the timing and amount of any repurchases will depend on available capital resources, legal requirements, market conditions, the trading price of our Common Stock, the availability of the safe harbors provided under the Exchange Act, alternative uses of capital and other factors. We cannot guarantee that the 2025 Repurchase Program will be fully consummated or that it will enhance long-term stockholder value. Share repurchases reduce our cash and cash equivalents, our Bitcoin holdings when Bitcoin is sold to fund the repurchases, to service our indebtedness, including the Convertible Notes, or to fund our operations. Repurchases could also affect the trading price of our Common Stock and increase its volatility, and the 2025 Repurchase Program may be suspended, modified or terminated at any time, which could cause the trading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indebtedness could adversely affect our financial condition and prevent us from fulfilling our obligations under the Convertible Notes and could have a further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no interest, mature in 2028 and are convertible at a conversion rate of 76.9 shares of Common Stock per $1,000 principal amount, equal to a conversion price of approximately $13.00 per share. Although the Convertible Notes mature in December 2028, the holders have the right to require the Company to repurchase all or a portion of Convertible Notes for cash at a price equal to 100% of outstanding principal amount anytime on June 5, 2027 (“</w:t>
      </w:r>
      <w:r>
        <w:rPr>
          <w:rFonts w:ascii="Times New Roman;Times;Serif" w:hAnsi="Times New Roman;Times;Serif"/>
          <w:b w:val="false"/>
          <w:i w:val="false"/>
          <w:caps w:val="false"/>
          <w:smallCaps w:val="false"/>
          <w:sz w:val="20"/>
          <w:u w:val="single"/>
        </w:rPr>
        <w:t>Repurchase Date</w:t>
      </w:r>
      <w:r>
        <w:rPr>
          <w:rFonts w:ascii="Times New Roman;Times;Serif" w:hAnsi="Times New Roman;Times;Serif"/>
          <w:b w:val="false"/>
          <w:i w:val="false"/>
          <w:caps w:val="false"/>
          <w:smallCaps w:val="false"/>
          <w:sz w:val="20"/>
        </w:rPr>
        <w:t>”). As of June 30, 2026, $99.6 million aggregate principal amount of Convertible Notes remained outstanding and 7,659,237 shares of Common Stock were issuable upon conversion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seek to raise or borrow additional funds to expand our product or business development efforts, make acquisitions or otherwise fund or grow our business and operations. Our indebtedness could have important consequences to the holders of our Common Stock, including: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more difficult for us to optimally capitalize and manage the cash flow for our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or reacting to, changes in our businesses and the markets in which we operate;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possibly placing us at a competitive disadvantage compared to our competitors that have less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borrow additional funds or to borrow funds at rates or on other terms that we find acceptable;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fraudulent transfer laws may permit a court to void the Convertible Notes and, if that occurs, the noteholders may not receive any payments on the Convertible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the ability to raise the funds necessary to settle conversions of the Convertible Notes, repurchase the Convertible Notes upon a fundamental change, purchase the Convertible Notes if tendered at the option of holders at the date specified in the indenture or repay the Convertible Notes in cash at their maturity, and our future debt may contain limitations on our ability to pay cash upon conversion, redemption or repurchase of the Convertible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convertible debt securities that may be settled in cash, including the Convertible Notes, may have a material effect on our reported financial results;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Convertible Notes, which may fluctuate significantly, may directly affect the market price for the Common Stock.</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able to incur significant additional indebtedness in the future and this could result in additional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incur any additional indebtedness that ranks equally with the Convertible Notes, subject to any collateral arrangements, the holders of that debt will be entitled to share ratably in any proceeds distributed in connection with our insolvency, liquidation, reorganization, dissolution or other winding up as a company. This may have the effect of reducing the amount of proceeds paid to our creditors and stockholders. These restrictions also will not prevent us from incurring obligations that do not constitute indebtedness. If new indebtedness is added to our current indebtedness levels, the related risks that we now face could increase. Any of these risks could materially impact our ability to fund our operations or limit our ability to expand our business,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generate sufficient cash to service all of our indebtedness, including the Convertible Notes, and may be forced to take other actions to satisfy our obligations under our indebtedness, which may not be successful or be on commercially reasonable terms, which would materially and adversely affect our financial position and results of operations and our ability to satisfy our obligations under the Convertible Notes and could force us into bankruptcy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on or to refinance our debt obligations, including the Convertible Notes, depends on our financial condition and results of operations, which in turn are highly dependent on and correlated with the value and performance of our Bitcoin holdings as well as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Convertible Notes.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Convertible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Convertible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Indenture that governs the Convertible Notes contains provisions that will restrict our ability to dispose of assets constituting collateral that secures the repayment of the Convertible Notes and use the proceeds from any such disposition. While we may dispose of assets not constituting collateral, we may not be able to consummate those dispositions quickly or at all or to obtain the proceeds that could be realized from such dispositions. In addition, any such dispositions and these proceeds may not be adequate to meet any debt service obligations then due. These alternative measures may not be successful and may not permit us to meet our scheduled debt service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make scheduled payments on our indebtedness, to the extent applicable, we will be in default and holders of the Convertible Notes and our other indebtedness could declare all outstanding principal and interest to be due and payable and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 All of these events could result in the noteholders losing their entire investment in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event of a foreclosure on the collateral securing the Convertible Notes, the interests of our equity holders would be adversely affected. The collateral may include assets material to our business, including Bitcoin or other digital assets, and the loss of such assets could significantly impair our operations, financial condition, and prospects. Furthermore, because the claims of secured creditors generally take priority over those of equity holders in a bankruptcy or liquidation scenario, any such foreclosure could materially diminish or eliminate the residual value of our equity. As a result, holders of our Common Stock could lose all or a substantial portion of their investment in the event of a default and subsequent enforcement of remedies by the holders of the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debt documents governing debt incurred by us other than the Convertible Notes may contain terms that restrict our current and future borrowing costs and reduce our access to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debt documents for indebtedness that we may incur other than the Convertible Notes may impose significant operating and financial restrictions on us. These restrictions could limit our ability to incur additional indebtedness, pay dividends, make investments, sell assets, or engage in certain business transactions. Such covenants may also require us to maintain specified financial ratios or meet other financial conditions. These restrictions could limit our flexibility in responding to changing business and economic conditions, increase our borrowing costs, and reduce our ability to obtain additional financing on favorable terms or at all. If we are unable to comply with the covenants or other terms of the Indenture or any other debt documents pursuant to which we incur indebtedness other than the Convertible Notes, it could result in an event of default,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lowering or withdrawal of the ratings assigned to our debt securities by rating agencies, if any, may increase our future borrowing costs and reduce our access to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assurances that any rating assigned to our debt securities will remain for any given period of time or that a rating will not be lowered or withdrawn entirely by a rating agency if, in that rating agency’s judgment, future circumstances relating to the basis of the rating, such as adverse changes, so warrant. Consequently, real or anticipated changes in our credit ratings will generally affect the market value of the Convertible Notes. Credit ratings are not recommendations to purchase, hold or sell the Convertible Notes, and may be revised or withdrawn at any time. Additionally, credit ratings may not reflect the potential effect of risks relating to the structure or marketing of the Convertible Notes.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lowering of our ratings likely would make it more difficult or more expensive for us to obtain additional debt financing. If any credit rating initially assigned to the Convertible Notes is subsequently lowered or withdrawn for any reason, our noteholders may not be able to resell their Convertible Notes at a favorable price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will be secured by a substantial portion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we must maintain at all times a 1.0:1.0 loan-to-collateral ratio compliance level with respect to the Convertible Notes using a mix of Bitcoin (with Bitcoin being valued at 50% for collateral calculation purposes) and cash and cash equivalents (with cash and cash equivalents being valued at 100% for collateral calculation purposes). U.S. Bank Trust Company, National Association serves as collateral agent and trustee with regard to the Convertible Notes and the associated indenture and security agreements. As of October 6, 2026, we had 2,700 Bitcoin on deposit at BitGo as collateral for the Convertible Notes, of which approximately 2,338 Bitcoin were required to be used as collateral. In the event of our insolvency, liquidation, dissolution, or reorganization, the assets securing the Convertible Notes will be available to satisfy the claims of the holders of the Convertible Notes and other secured creditors before any remaining value is available to satisfy the claims of our unsecured creditors or holders of our equity securities. If the value of the secured assets is insufficient to repay all amounts owed under the Convertible Notes and other secured obligations, our general creditors and equity holders may not receive any recovery. Because a significant portion of our assets consists of Bitcoin, the value of the collateral securing the Convertible Notes is subject to extreme volatility. See the risk factors entitled “</w:t>
      </w:r>
      <w:r>
        <w:rPr>
          <w:rFonts w:ascii="Times New Roman;Times;Serif" w:hAnsi="Times New Roman;Times;Serif"/>
          <w:b w:val="false"/>
          <w:i/>
          <w:caps w:val="false"/>
          <w:smallCaps w:val="false"/>
          <w:sz w:val="20"/>
        </w:rPr>
        <w:t xml:space="preserve">Our principal asset is Bitcoin. The concentration of our Bitcoin holdings enhances the risks inherent in our Bitcoin strategy”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Bitcoin is a highly volatile asset, and our operating results and market price may significantly fluctuate, including due to the highly volatile nature of the price of Bitcoin and erratic market movements</w:t>
      </w:r>
      <w:r>
        <w:rPr>
          <w:rFonts w:ascii="Times New Roman;Times;Serif" w:hAnsi="Times New Roman;Times;Serif"/>
          <w:b w:val="false"/>
          <w:i w:val="false"/>
          <w:caps w:val="false"/>
          <w:smallCaps w:val="false"/>
          <w:sz w:val="20"/>
        </w:rPr>
        <w:t>.” Sharp declines in the price of Bitcoin could require us to pledge additional Bitcoin, cash, or cash equivalents in order to maintain the collateral coverage required under the terms of the Convertible Notes. Furthermore, the existence of these security interests may limit our ability to incur additional secured indebtedness, dispose of assets, or obtain additional financing, thereby reducing our financial flexibility and ability to respond to business opportunities or adverse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and state fraudulent transfer laws may permit a court to void the Convertible Notes and, if that occurs, the Convertible noteholders may not receive any payments on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federal and state laws, a court may void or otherwise decline to enforce the Convertible Notes, or subordinate the Convertible Notes to our other obligations, if it finds that, at the time the Convertible Notes were issued, we received less than reasonably equivalent value or fair consideration for the Convertible Notes and, among other things, (i) we were insolvent or rendered insolvent by reason of the issuance of the Convertible Notes, (ii) we were engaged in a business or transaction for which our remaining assets constituted unreasonably small capital, or (iii) we intended to incur, or believed we would incur, debts beyond our ability to pay as they mature. In addition, a court could void the Convertible Notes if it finds that they were issued with actual intent to hinder, delay, or defraud creditors. If a court were to take any such action, noteholders could lose their right to payment on the Convertible Notes, which would have a material adverse effect on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rate of the Convertible Notes may not be adjusted for all dilutive events that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Convertible Notes provide for adjustments to the conversion rate in certain circumstances, such as stock splits, stock or cash dividends, certain distributions, tender or exchange offers or a “Make-Whole Fundamental Change” (as such term is defined in the Indenture). However, the conversion rate will not be adjusted for every event that could have a dilutive effect on the value of the Convertible Notes or the underlying Common Stock. As a result, events may occur that adversely affect the value of the Convertible Notes or the Common Stock into which the Convertible Notes are convertible, but that do not result in an adjustment to the conversion rate. This could result in noteholders receiving less value upon conversion than they would have if the conversion rate had been adjusted for all such events.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increase in the conversion rate applicable to the Convertible Notes that holders convert in connection with a redemption or conversion may not adequately compensate noteholders for the lost option time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Convertible Notes or if certain other events occur, the conversion rate may be increased for notes converted in connection with such events. However, the amount of any such increase may not fully compensate noteholders for the lost time value of their option to convert the Convertible Notes at a later date. As a result, noteholders who convert their notes in connection with a redemption or other event may receive less value than they would have received if they had been able to hold the Convertible Notes until a later date or convert at a more favorable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regulatory actions, changes in market conditions and other events may adversely affect the trading price and liquidity of the Convertible Notes and the ability of investors to implement a convertible note arbitrage trading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and liquidity of the Convertible Notes may be affected by a variety of factors, including changes in market conditions, regulatory actions, and other events beyond our control. These factors may make it difficult for investors to buy or sell the Convertible Notes at desired prices or in desired quantities. In addition, the ability of investors to implement a convertible note arbitrage trading strategy, which typically involves taking offsetting positions in the Convertible Notes and the underlying Common Stock, may be adversely affected by limited liquidity or other market disruptions. As a result, investors may not be able to realize the expected returns from their investment in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Upon conversion of the Convertible Notes, noteholders may receive less valuable consideration than expected because the value of the Common Stock may decline after noteholders exercise their conversion right but before we settle the conversion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noteholder elects to convert notes into our Common Stock, there may be a delay between the time the conversion right is exercised and the time we deliver the shares or other consideration. During this period, the market price of our Common Stock may decrease, resulting in the Convertible Notes noteholder receiving less valuable consideration than anticipated at the time of conversion. This risk is heightened during periods of market volatility or if there are delays in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redemption may adversely affect noteholders’ return on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Convertible Notes are converted or redeemed prior to maturity, noteholders may not realize the full potential return on their investment. Early conversion or redemption may occur at times when the market price of our Common Stock is unfavorable or when interest rates or other market conditions would otherwise make holding the Convertible Notes more advantageous. As a result, noteholders may receive less value than if they had held the Convertible Notes to maturity or converted at a later, more favorable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the Convertible Notes may have to pay U.S. federal income tax if we adjust the conversion rate of the Convertible Notes in certain circumstances, even if they do not receive any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an adjustment to the conversion rate of the Convertible Notes may be treated as a taxable distribution to noteholders for U.S. federal income tax purposes, even if noteholders do not receive any cash or other property as a result of the adjustment. Noteholders may be required to include the amount of such a distribution in their taxable income and pay tax on it, even though they have not received any cash with which to pay the tax. The tax treatment of such adjustments is complex and may vary depending on individual circumstances.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convertible debt securities that may be settled in cash, including the Convertible Notes, may have a material effect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accounting standards, we will be required to separately account for the liability and equity components of the Convertible Notes, which will result in the recognition of non-cash interest expense in our financial statements. This could have a material effect on our reported net income, earnings per share, and other financial measures. In addition, changes in accounting rules or interpretations could further affect the accounting treatment of the Convertible Notes and our reported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which may fluctuate significantly, may directly affect the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fluctuate due to various factors, including our financial performance, industry trends, general economic conditions, and market sentiment. Because the Convertible Notes are convertible into Common Stock, the value of the Convertible Notes will be directly affected by fluctuations in the market price of our Common Stock. A decline in the market price of our Common Stock could reduce the value of the Convertible Notes and the amount that noteholders would receive upon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limited trading and liquidity for the Convertible Notes, and notwithstanding any registration rights and trading being facilitated through the facilities of The Depository Trust Company, holders’ ability to sell the Convertible Notes could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not listed on any securities exchange, and there is only a limited trading market for the Convertible Notes. Although the Convertible Notes may be eligible for trading through the facilities of The Depository Trust Company and we have granted registration rights, there can be no assurance that an active trading market for the Convertible Notes will develop or be maintained. The reduction in the aggregate principal amount of the Convertible Notes outstanding as a result of the Note Repurchase may further limit the liquidity of the Convertible Notes. As a result, holders may not be able to sell their notes at desired times or prices, or at all. The lack of liquidity could adversely affect the market value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Noteholders will not be entitled to any rights with respect to our Common Stock, but will be subject to all changes made with respect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noteholder converts notes into our Common Stock, the Convertible Notes noteholder will not have any rights as a stockholder, including voting rights or rights to receive dividends or other distributions. However, the value of the Convertible Notes may be affected by changes in the rights, preferences, or privileges of our Common Stock, or by other actions taken by us with respect to our Common Stock. As a result, noteholders are subject to the risks associated with changes affecting our Common Stock, even though they do not have the rights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are convertible into our Common Stock. As a result, noteholders will be subject to all of the risks associated with holding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Convertible Notes are convertible into shares of our Common Stock, noteholders will be exposed to the risks associated with an investment in our Common Stock. These risks include, among others, the risk of fluctuations in the market price of our Common Stock, the risk that we may not pay dividends, and the risk that our business, financial condition, or results of operations may be adversely affected by factors beyond our control. In addition, as a public company listed on Nasdaq, we are subject to extensive regulation and reporting requirements, and any failure to comply with these requirements could adversely affect the value of our Common Stock and, consequently, the value of the Convertible Notes.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Cross-default provisions under the Indenture and under indebtedness documents governing our indebtedness other than the Convertible Notes could result in liquidity issues and impact our ability to repay our indebtedness obligations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a cross-default provision that allows for the holders of the Convertible Notes to accelerate repayment of the Convertible Notes in the event of (i) a payment default with respect to any of our indebtedness other than the Convertible Notes in an amount equal to or greater than one-hundred million dollars ($100,000,000) (or our foreign currency equivalent) in the aggregate or (ii) any other default under any such indebtedness that results in such indebtedness becoming or being declared due and payable before our stated maturity.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breach of the covenants under the Indenture, including defaults related to payment, conversion of the Convertible Notes or bankruptcy or insolvency-related issues, among other defaults, could result in an event of default under our indebtedness other than the Convertible Notes, assuming the documents governing any such indebtedness contain similar cross-default or cross-acceleration provisions. Such a default under the Indenture would allow the creditors under such other indebtedness to accelerate the repayment of their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triggering of any such cross-default or cross-acceleration provisions under the Indenture and/or such other indebtedness on a stand-alone or simultaneous basis could create liquidity issues and adversely impact our ability to repay the Convertible Notes and/or such other indebtedness. An inability of us to repay the holders of the Convertible Notes would give such holders the right to proceed against the collateral granted to them to secure such indebtedness. Assuming such other indebtedness other than the Convertible Notes is also secured, the creditors under such indebtedness would similarly have the right to proceed against the collateral granted to them to secure their indebtedness. Additionally, we may not be able to incur additional loans from other lenders to enable us to refinance the Convertible Notes and/or any such other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fair value gains on our Bitcoin holdings could cause us to become subject to the corporate alternative minimum tax under the Inflation Reduction Act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enacted the Inflation Reduction Act of 2022 (“</w:t>
      </w:r>
      <w:r>
        <w:rPr>
          <w:rFonts w:ascii="Times New Roman;Times;Serif" w:hAnsi="Times New Roman;Times;Serif"/>
          <w:b w:val="false"/>
          <w:i w:val="false"/>
          <w:caps w:val="false"/>
          <w:smallCaps w:val="false"/>
          <w:sz w:val="20"/>
          <w:u w:val="single"/>
        </w:rPr>
        <w:t>IRA</w:t>
      </w:r>
      <w:r>
        <w:rPr>
          <w:rFonts w:ascii="Times New Roman;Times;Serif" w:hAnsi="Times New Roman;Times;Serif"/>
          <w:b w:val="false"/>
          <w:i w:val="false"/>
          <w:caps w:val="false"/>
          <w:smallCaps w:val="false"/>
          <w:sz w:val="20"/>
        </w:rPr>
        <w:t>”) in August 2022. Unless an exemption applies, the IRA imposes a 15% corporate alternative minimum tax (“</w:t>
      </w:r>
      <w:r>
        <w:rPr>
          <w:rFonts w:ascii="Times New Roman;Times;Serif" w:hAnsi="Times New Roman;Times;Serif"/>
          <w:b w:val="false"/>
          <w:i w:val="false"/>
          <w:caps w:val="false"/>
          <w:smallCaps w:val="false"/>
          <w:sz w:val="20"/>
          <w:u w:val="single"/>
        </w:rPr>
        <w:t>CAMT</w:t>
      </w:r>
      <w:r>
        <w:rPr>
          <w:rFonts w:ascii="Times New Roman;Times;Serif" w:hAnsi="Times New Roman;Times;Serif"/>
          <w:b w:val="false"/>
          <w:i w:val="false"/>
          <w:caps w:val="false"/>
          <w:smallCaps w:val="false"/>
          <w:sz w:val="20"/>
        </w:rPr>
        <w:t>”) on a corporation with respect to an initial tax year and subsequent tax years, if the average annual adjusted financial statement income (“</w:t>
      </w:r>
      <w:r>
        <w:rPr>
          <w:rFonts w:ascii="Times New Roman;Times;Serif" w:hAnsi="Times New Roman;Times;Serif"/>
          <w:b w:val="false"/>
          <w:i w:val="false"/>
          <w:caps w:val="false"/>
          <w:smallCaps w:val="false"/>
          <w:sz w:val="20"/>
          <w:u w:val="single"/>
        </w:rPr>
        <w:t>AFSI</w:t>
      </w:r>
      <w:r>
        <w:rPr>
          <w:rFonts w:ascii="Times New Roman;Times;Serif" w:hAnsi="Times New Roman;Times;Serif"/>
          <w:b w:val="false"/>
          <w:i w:val="false"/>
          <w:caps w:val="false"/>
          <w:smallCaps w:val="false"/>
          <w:sz w:val="20"/>
        </w:rPr>
        <w:t>”) for any consecutive three-tax-year period preceding the initial tax year exceeds $1 billion. On September 12, 2024, the Department of Treasury and the IRS issued proposed regulations with respect to the application of CAMT.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required to adopt ASU 2023-08, under which Bitcoin holdings must be measured at fair value in our statement of financial position, with gains and losses from changes in the fair value of our Bitcoin recognized in net income each reporting period. On September 30, 2025, the Department of Treasury and the IRS issued interim guidance permitting a corporation to disregard unrealized gains and losses on its digital asset holdings when computing AFSI, and stated their intention to issue revised proposed regulations similar to this guidance. Pursuant to this interim guidance, we intend to exclude unrealized gains and losses on our Bitcoin holdings from our AFSI.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interim guidance is not final and could be modified or withdrawn, and revised or final regulations or future legislation may not provide similar relief. If that occurs, we may become subject to CAMT. Accordingly, as a result of the enactment of the IRA and our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losses and our inability to obtain all expected tax benefits could adversely affect our business,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exposed to significant price volatility and operational risks inherent in the Bitcoin ecosystem, which may cause us to incur realized losses on digital asset positions, hedges, lending or staking arrangements, and other activities. Market dislocations, sharp declines in Bitcoin prices, forced liquidations, counterparty defaults, or changes in trading or custody practices may require us to sell assets at unfavorable prices or incur losses on settlements and unwinds. In addition, changes in accounting standards or their application may accelerate recognition of losses or reduce the timing or magnitude of gains, which can increase earnings volatility and negatively impact regulatory capital, liquidity management, and debt covenant compliance. Any sustained period of realized losses could materially reduce our cash flows and capital resources and constrain our ability to invest in growth initiatives.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realize the full value of our expected tax benefits, including net operating losses, capital loss carryforwards, tax credit carryforwards, and deductions relating to our digital asset activities. The characterization and timing of income, gains, and losses from digital assets remain areas of evolving and, in some jurisdictions, unsettled tax law. As a result, tax authorities may challenge our positions, deny deductions, recharacterize transactions, or otherwise reduce the availability of anticipated tax attributes. Moreover, limitations under applicable tax law, such as restrictions on the use of capital losses against ordinary income, annual utilization caps, separate-return limitation year rules, or ownership change limitations, could defer, diminish, or eliminate our ability to utilize carryforwards. Changes in tax legislation, regulations, administrative guidance, or judicial decisions, in the United States or in non-U.S. jurisdictions where we operate, could further reduce the expected benefit of our tax attributes or require us to establish additional valuation allowances.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assess the realizability of our deferred tax assets and may be required to record or increase a valuation allowance if we experience losses, reduced forecasted taxable income, or adverse changes in tax law or audit outcomes. Establishing or increasing valuation allowances would increase our tax expense and reduce net income. In addition, if we experience an “ownership change” for tax purposes, our ability to use net operating loss carryforwards and certain built-in losses may be subject to significant annual limitations. To the extent our realized losses increase while our expected tax benefits decline or are deferred, our effective tax rate may rise and our after-tax results and cash flows could be materially and adversely affected.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BP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We will receive proceeds from the exercise of the Warrants for cash, but not from the sale of the shares of Common Stock issuable upon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up to an aggregate of approximately $148 million from the exercise of the Warrants, assuming the exercise in full of all of the Warrants for cash. There is no assurance that the holders of the Warrants will elect to exercise any or all of the Warrants. To the extent that Warrants are exercised on a “cashless basis,” the amount of cash we would receive from the exercise of the Warrants will decrease, potentially to zero. On October 14, 2026, the last reported sales price of our Common Stock was $3.79 and the exercise price per share of the Warrants was $11.50. The exercise price of the Warrants is significantly higher than the current market price of our Common Stock and accordingly, it is highly unlikely that holders of Warrants will exercise their Warrants in the foreseeable future. Cash proceeds associated with the exercises of the Warrants are dependent on our stock price and given the recent price volatility of our Common Stock and relative lack of liquidity in our stock, there is no certainty that holders of Warrants will exercise their Warrants and, accordingly, we may not receive any cash proceeds in relation to our outstanding Warrants. See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for additional information regarding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the exercise of the Warrants, if any, for general corporate purposes, which may include funding working capital requirements, capital expenditures, acquisitions and other business opportunities and the repayment of indebtedness. Our management will have broad discretion over the use of proceeds from the exercise of the Warrants.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incremental selling expenses relating to the sale of their shares of Common Stock,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securities.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BP_007"/>
      <w:bookmarkEnd w:id="8"/>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BP_008"/>
      <w:bookmarkEnd w:id="9"/>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BP_009"/>
      <w:bookmarkEnd w:id="10"/>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“SVIA” and our Warrants are listed on the Nasdaq Capital Market under the symbol “SVIAW.” As of September 30, 2026, there were approximately 80 holders of record of our Common Stock.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BP_010"/>
      <w:bookmarkEnd w:id="11"/>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the “</w:t>
      </w:r>
      <w:r>
        <w:rPr>
          <w:rFonts w:ascii="Times New Roman;Times;Serif" w:hAnsi="Times New Roman;Times;Serif"/>
          <w:b w:val="false"/>
          <w:i/>
          <w:caps w:val="false"/>
          <w:smallCaps w:val="false"/>
          <w:sz w:val="20"/>
          <w:u w:val="single"/>
        </w:rPr>
        <w:t>Company</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Silvia</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we</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us</w:t>
      </w:r>
      <w:r>
        <w:rPr>
          <w:rFonts w:ascii="Times New Roman;Times;Serif" w:hAnsi="Times New Roman;Times;Serif"/>
          <w:b w:val="false"/>
          <w:i/>
          <w:caps w:val="false"/>
          <w:smallCaps w:val="false"/>
          <w:sz w:val="20"/>
        </w:rPr>
        <w:t>” or “</w:t>
      </w:r>
      <w:r>
        <w:rPr>
          <w:rFonts w:ascii="Times New Roman;Times;Serif" w:hAnsi="Times New Roman;Times;Serif"/>
          <w:b w:val="false"/>
          <w:i/>
          <w:caps w:val="false"/>
          <w:smallCaps w:val="false"/>
          <w:sz w:val="20"/>
          <w:u w:val="single"/>
        </w:rPr>
        <w:t>our</w:t>
      </w:r>
      <w:r>
        <w:rPr>
          <w:rFonts w:ascii="Times New Roman;Times;Serif" w:hAnsi="Times New Roman;Times;Serif"/>
          <w:b w:val="false"/>
          <w:i/>
          <w:caps w:val="false"/>
          <w:smallCaps w:val="false"/>
          <w:sz w:val="20"/>
        </w:rPr>
        <w:t>” refer to Silvia, Inc., a Delaware corporation, and its subsidiaries. The following discussion and analysis of the financial condition and results of operations of the Company should be read together with our audited consolidated financial statements for the period from June 17, 2025 (inception) through December 31, 2025, our unaudited condensed consolidated financial statements as of and for the three and six months ended June 30, 2026, and the related notes, in each case included elsewhere in this prospectus. This discussion contains forward-looking statements that involve risks and uncertainties. Our actual results could differ materially from those anticipated in these forward-looking statements as a result of various factors, including those described under “Cautionary Note Regarding Forward-Looking Statements” and “Risk Factors”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with CCCM, which was accounted for as a reverse recapitalization in accordance with U.S. GAAP. Legacy ProCap was determined to be the accounting acquirer and CCCM was treated as the acquired company for financial reporting purposes. Following the Business Combination, the Company became the publicly traded parent company, and Legacy ProCap became its operating subsidiary. As a result, our audited consolidated financial statements included elsewhere in this prospectus reflect (i) the historical operating results of the Company and Legacy ProCap prior to the Business Combination, (ii) the combined results of CCCM and the Company following the Closing of the Business Combination, (iii) the assets and liabilities of CCCM at their historical cost and (iv) our equity structure for all periods presented, as affected by the recapitalization presentation. See Note 4 to our audited consolidated financial statements included elsewhere in this prospectus for further information regarding the Business Combination. In addition, the historical financial statements of Legacy ProCap became the historical financial statements of the Company. Accordingly, the comparative financial information presented for periods prior to the Business Combination, including the period from June 10, 2025 (inception) through June 30, 2025, reflects the historical results of Legacy ProCap.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U.S.-based modern finance company. The Company’s mission is to help independent investors make money. Historically, the Company’s operations included investor-focused media, educational content, and strategic investments designed to support independent investors through digital platforms and other content offerings. We believe advances in artificial intelligence and automation technologies have the potential to transform financial analysis, investment research, and investor decision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centered on developing scalable technology platforms, expanding our proprietary data and analytical capabilities, and pursuing strategic opportunities that enhance our products, services, and long-term growth prospects. Through a combination of internal development initiatives and strategic acquisitions, we seek to provide technology-enabled solutions designed to improve the accessibility, efficiency, and quality of financial information and analysis available to investors.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we expanded our AI-focused initiatives through the launch of Silvia Insights and the acquisition of CFO Silvia. Silvia Insights is an AI-driven research product designed to provide investors with market intelligence and investment research. CFO Silvia is a consumer-focused financial technology platform that utilizes AI to aggregate and analyze financial information. Together, these initiatives support our objective of developing technology-enabled solutions that improve the accessibility and efficiency of financial analysis and investor engagement.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conduct an asset management business through the Investment Manager, which serves as investment adviser to the Initial Fund and the SPV Fund, may serve as investment adviser to additional private funds and to other special purpose vehicles, alternative investment vehicles, co-investment vehicles and similar vehicles (together with the SPV Fund, “SPVs”) and is also proposed to serve as investment sub-adviser to five proposed actively managed exchange-traded funds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We refer to the Initial Fund, together with any other private funds and SPVs that we or our subsidiaries sponsor, advise or manage, as the “Funds”; the term “Funds” does not include the Silvia ETFs.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activities are at an early stage. The Initial Fund was launched during the quarter ended June 30, 2026, the SPV Fund was launched in August 2026, the Silvia ETFs have not launched and the Investment Manager’s registration as an investment adviser has not yet become effective. Accordingly, our historical results of operations discussed below do not reflect significant operations of our asset management activities and remain significantly affected by changes in the fair value of our Bitcoin holdings. Over time, we expect the economics of our asset management business to consist primarily of management fees and sub-advisory fees earned by the Investment Manager and carried interest earned by the general partner of the Initial Fund, and we expect to incur related costs substantially in advance of any meaningful related revenue. Each of these activities is described below under “—Recent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adopted a Bitcoin treasury strategy and intend to hold Bitcoin as a treasury reserve asset. We believe that Bitcoin represents a superior long-term store of value and a viable alternative to traditional fiat-based reserve assets and that Bitcoin will play an increasingly important role as a reserve asset for individuals, corporations, and governments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CFO Silvia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completed the CFO Silvia Acquisition, a consumer-focused financial technology platform that utilizes artificial intelligence technologies to aggregate, organize, and analyze financial information. The CFO Silvia Acquisition expands our AI-powered product offerings and supports our strategy of developing technology-enabled solutions designed to improve financial analysis, research, and investor decision-making.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CFO Silvia have been included in our unaudited condensed consolidated financial statements since April 6, 2026. Additional information regarding the CFO Silvia Acquisition is included in Note 3 to the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financial account integrations, including brokerage accounts, retirement accounts, cryptocurrency wallets, real estate valuation services, and alternative investment platforms, to deliver users a consolidated, real-time view of their net worth, holdings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CFO Silvia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Advisers Act and is not intended to serve as a registered investment adviser or replace the judgment of a qualified financial professional.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and Regulatory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AI-related initiatives operate in rapidly evolving and competitive markets and are subject to changing legal, regulatory, and technological developments, including those relating to data privacy, cybersecurity, intellectual property, consumer protection, and the use of automated financial analysis tools. As we continue to develop and expand our platforms, we expect innovation, technology development, and disciplined capital allocation to remain important components of our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we expanded our business to include asset management through the launch of the Initial Fund, our initial asset management product. The Investment Manager serves as investment adviser to the Initial Fund, and Silvia Innovation Fund I GP, LLC, our wholly-owned subsidiary and a legal entity separate from the Investment Manager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serves as its general partner. We hold indirectly an interest in the Initial Fund through the General Partner. The Initial Fund expects to invest primarily in technology-sector companies and assets, many of which may be private and illiquid, although it has broad flexibility as to geography, strategy and asset class. As of June 30, 2026, the Initial Fund and related entities had not commenced significant operations and had not engaged in material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economics of the Initial Fund are earned at the subsidiary level. Management fees from the Initial Fund are payable to the Investment Manager and are based on each limited partner’s capital commitment during the Initial Fund’s investment period and on invested capital thereafter. Carried interest is payable to the General Partner and depends on the Initial Fund’s investment results and on the timing and amount of investment realizations. The Company does not receive management fees or carried interest directly. As a result, management-fee revenue from the Initial Fund will depend substantially on the ability of the Investment Manager and the General Partner to raise capital commitments from third-party investors, and any carried interest will be long-dated, may not be earned for many years, if at all, and may be concentrated in a limited number of periods. Carried interest distributed to the General Partner may also be subject to a fund-level clawback, which would reduce amounts otherwise available to us. Fee reductions, waivers or expense support offered to attract investors could reduce the revenues of our asset management business, while its personnel, compliance, technology and other operating expenses may continue regardless of the amount of capital raised or investment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which may be used to make the Initial Fund’s initial investments and to pay its initial expenses, and a portion of that funded capital is expected to be returned to the General Partner as third-party investors are admitted at subsequent closings. There can be no assurance as to the amount or timing of any such return. Capital funded by the General Partner represents our capital, may be invested in private and illiquid assets that are difficult to value and would not be available for our existing operations or other corporate purposes while it remains invested. We may also elect to provide additional capital or support to the Funds, such as warehousing investments or bridging investor capital contributions, but we are under no obligation to provide any such support unless we agree to do so, and the nature and extent of any such support have not been determined. Whether we are required to consolidate the Initial Fund or any other Fund in our financial statements will depend on our economic interests in, decision-making rights over and other relationships with the relevant vehicle.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SPV Fund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we committed to transfer $11.0 million to Silvia SPV GP, LLC to fund the three initial investments of the SPV Fund.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Independent Director and Nasdaq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member of the audit committee of the Board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As a result of this appointment, the Company regained compliance with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ETF Trust, filed a post-effective amendment to its registration statement on Form N-1A with the SEC with respect to the Silvia ETFs. That registration statement is separate from the registration statement of which this prospectus forms a part. The Adviser serves as investment adviser to the Silvia ETFs, and the Investment Manager is proposed to serve as investment sub-adviser and to provide portfolio management services, subject to the supervision and oversight of the Adviser and the board of trustees of the ETF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ETF Trust’s registration statement remains subject to SEC review and comment and may be amended, delayed or withdrawn. No Silvia ETF may commence operations until the registration statement with respect to that fund has become effective, its shares have been approved for listing on a national securities exchange, the Investment Manager’s registration as an investment adviser has become effective and applicable distribution and operational arrangements are in place, and there can be no assurance that any Silvia ETF will launch when anticipated or at all. We have not earned any sub-advisory fees to date and do not expect the Silvia ETFs to generate meaningful revenue in the near term. See “Risk Factors—Risks Related to Our Expansion into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Silvia ETFs launch, any sub-advisory fees are expected to be calculated as a percentage of the average daily net assets of each Silvia ETF and paid out of the Adviser’s unitary management fee. The Company would not receive sub-advisory fees directly; those fees would be earned by the Investment Manager and reflected in our consolidated results. Sub-advisory fee revenue would therefore depend on the assets of the Silvia ETFs, which will fluctuate with market prices, investment performance and creations and redemptions of fund shares, and on the continuation of the sub-advisory relationship, which the Adviser and the board of trustees of the ETF Trust may terminate or decline to renew. Launch, marketing and compliance costs, and any expense obligations we agree to bear, may exceed sub-advisory fee revenue for an extended period or indefinitely. Each Silvia ETF will require seed capital before it may publicly offer its shares. We anticipate that third parties will provide that seed capital, although we or our affiliates may provide seed capital to the Silvia ETFs. In addition, under a license agreement entered into on August 12, 2026, the Investment Manager will pay a royalty calculated as a percentage of the average daily net assets of one proposed Silvia ETF for periods during which the license agreement is in effect and that fund is operational, which would reduce the Investment Manager’s net economics from that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or the solicitation of an offer to buy shares of any Silvia ETF. Any offering of shares of a Silvia ETF will be made only by means of a prospectus of that fund.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Purpose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Fund, the Investment Manager may serve as investment adviser to additional private funds and to SPVs that we or our subsidiaries sponsor, advise or manage. On August 26, 2026, we expanded our asset management business through the launch of the SPV Fund, which is advised by the Investment Manager. The SPV Fund has invested in three privately-held companies for a total of $11.0 million. As of October 6, 2026, we had not earned any management fees on those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of the SPV Fund and its investments occurred after June 30, 2026 and are not reflected in our historical results of operations discussed below. The $11.0 million amount represents the aggregate investments to be made by the SPV Fund as of October 6, 2026, and is not revenue to us. The economic terms of the SPV Fund and of any future SPVs, including any fees or other compensation payable to the Investment Manager or our other subsidiaries, may differ from those of the Initial Fund, and any economics we derive from SPVs will depend on the terms of each vehicle, the performance of its investments, which may be illiquid and difficult to value, and the timing of any realizations.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Adviser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the Investment Manager filed Parts 1 and 2A of Form ADV with the SEC to register as an investment adviser under the Advisers Act. The Investment Manager’s registration has not yet become effective. The Investment Manager currently relies on exemptions from registration under applicable federal and state law in connection with its private fund advisory activities, including its advisory services to the Initial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under the Advisers Act applies at the adviser level. The Investment Manager’s registration will not constitute registration of Silvia, Inc., the General Partner, any Fund or our consumer platform. As described under “—Acquisition of CFO Silvia” above, the CFO Silvia platform does not provide personalized investment advice and is not intended to serve as a registered investment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investment adviser, the Investment Manager currently owes fiduciary duties to its advisory clients and is subject to the anti-fraud provisions of the Advisers Act. Upon effectiveness of its registration, the Investment Manager will become subject to additional requirements applicable to SEC-registered investment advisers and to SEC examination authority. We expect the registration process and the continued development of the Investment Manager’s compliance program to require significant expenditures before our asset management business generates meaningful revenue and while the material weakness in our internal control over financial reporting described under “—Internal Control over Financial Reporting” below remains unremediated.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Investment Manager’s registration will become effective when anticipated or at all. Any delay in, or failure to obtain, registration could delay or prevent the launch of one or more Silvia ETFs, limit the Investment Manager’s ability to expand its advisory activities beyond those permitted by the exemptions on which it currently relies or cause us to incur additional costs. See “Business—Government Regulation—Investment Adviser Registration and Advisory Activities” and “Risk Factors—Risks Related to Our Expansion into Asset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for the period from June 17, 2025 (inception) through December 31, 2025. This information should be read together with our audited consolidated financial statements and the related notes included elsewhere in this prospectus.</w:t>
      </w:r>
    </w:p>
    <w:p>
      <w:pPr>
        <w:pStyle w:val="TextBody"/>
        <w:bidi w:val="0"/>
        <w:spacing w:before="0" w:after="0"/>
        <w:ind w:left="0" w:right="0" w:hanging="0"/>
        <w:jc w:val="left"/>
        <w:rPr>
          <w:caps w:val="false"/>
          <w:smallCaps w:val="false"/>
        </w:rPr>
      </w:pPr>
      <w:r>
        <w:rPr>
          <w:caps w:val="false"/>
          <w:smallCaps w:val="false"/>
        </w:rPr>
        <w:t> </w:t>
      </w:r>
    </w:p>
    <w:tbl>
      <w:tblPr>
        <w:tblW w:w="9854" w:type="dxa"/>
        <w:jc w:val="left"/>
        <w:tblInd w:w="0" w:type="dxa"/>
        <w:tblLayout w:type="fixed"/>
        <w:tblCellMar>
          <w:top w:w="0" w:type="dxa"/>
          <w:left w:w="0" w:type="dxa"/>
          <w:bottom w:w="0" w:type="dxa"/>
          <w:right w:w="0" w:type="dxa"/>
        </w:tblCellMar>
      </w:tblPr>
      <w:tblGrid>
        <w:gridCol w:w="7985"/>
        <w:gridCol w:w="60"/>
        <w:gridCol w:w="180"/>
        <w:gridCol w:w="1519"/>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519" w:type="dxa"/>
            <w:tcBorders/>
            <w:shd w:fill="CCEEFF" w:val="clear"/>
            <w:vAlign w:val="center"/>
          </w:tcPr>
          <w:p>
            <w:pPr>
              <w:pStyle w:val="TableContents"/>
              <w:bidi w:val="0"/>
              <w:spacing w:before="0" w:after="283"/>
              <w:jc w:val="right"/>
              <w:rPr/>
            </w:pPr>
            <w:r>
              <w:rPr/>
              <w:t>85,000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7,630,335</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pPr>
            <w:r>
              <w:rPr/>
              <w:t>442,043</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(7,987,378</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Realized loss on sale of digital assets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(54,463,684</w:t>
            </w:r>
          </w:p>
        </w:tc>
        <w:tc>
          <w:tcPr>
            <w:tcW w:w="110" w:type="dxa"/>
            <w:tcBorders/>
            <w:shd w:fill="CCEEFF" w:val="clear"/>
            <w:vAlign w:val="center"/>
          </w:tcPr>
          <w:p>
            <w:pPr>
              <w:pStyle w:val="TableContents"/>
              <w:bidi w:val="0"/>
              <w:spacing w:before="0" w:after="283"/>
              <w:jc w:val="left"/>
              <w:rPr/>
            </w:pPr>
            <w:r>
              <w:rPr/>
              <w:t>)</w:t>
            </w:r>
          </w:p>
        </w:tc>
      </w:tr>
      <w:tr>
        <w:trPr/>
        <w:tc>
          <w:tcPr>
            <w:tcW w:w="7985" w:type="dxa"/>
            <w:tcBorders/>
            <w:shd w:fill="FFFFFF" w:val="clear"/>
            <w:vAlign w:val="center"/>
          </w:tcPr>
          <w:p>
            <w:pPr>
              <w:pStyle w:val="TableContents"/>
              <w:bidi w:val="0"/>
              <w:spacing w:before="0" w:after="283"/>
              <w:jc w:val="left"/>
              <w:rPr/>
            </w:pPr>
            <w:r>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(25,005,384</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Change in fair value of conversion feature - preferred units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56,298,500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Change in fair value of convertible note conversion feature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2,350,290</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Change in fair value of derivative securities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106,264</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259,942</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pPr>
            <w:r>
              <w:rPr/>
              <w:t>(534,054</w:t>
            </w:r>
          </w:p>
        </w:tc>
        <w:tc>
          <w:tcPr>
            <w:tcW w:w="110" w:type="dxa"/>
            <w:tcBorders/>
            <w:shd w:fill="CCEEFF" w:val="clear"/>
            <w:vAlign w:val="center"/>
          </w:tcPr>
          <w:p>
            <w:pPr>
              <w:pStyle w:val="TableContents"/>
              <w:bidi w:val="0"/>
              <w:spacing w:before="0" w:after="283"/>
              <w:jc w:val="left"/>
              <w:rPr/>
            </w:pPr>
            <w:r>
              <w:rPr/>
              <w:t>)</w:t>
            </w:r>
          </w:p>
        </w:tc>
      </w:tr>
      <w:tr>
        <w:trPr/>
        <w:tc>
          <w:tcPr>
            <w:tcW w:w="798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(20,988,126</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(28,975,504</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73,685,031</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pPr>
            <w:r>
              <w:rPr/>
              <w:t>(0.39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period from June 17, 2025 (inception) through December 31, 2025 was $85,000 and not material to overall results. We currently generate limited revenue from digital advertising and marketing services, which is recognized over time as performance obligations are satisfied. We have not yet demonstrated an ability to generate sustainable or predictable revenue, and there can be no assurance that we will do so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professional fees, and other corporate overhead expenses. For the period from June 17, 2025 (inception) through December 31, 2025, general and administrative expenses totaled $7.6 million. Personnel-related costs included $2.3 million of salary expense and accrued bonuses. Professional fees totaled $4.6 million and were primarily attributable to legal, accounting, advisory, and other professional services incurred in connection with the consummation of the Business Combination and our transition to operating as a public company. The remaining general and administrative expenses consisted of insurance, technology, facilities, and other corporate costs incurred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for the period from June 17, 2025 (inception) through December 31, 2025 was net expense of $21.0 million, primarily driven by realized loss on sale of digital assets, changes in fair value of conversion feature, digital assets and derivative securities, as well as interest expense and interest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 realized loss of $54.5 million on the sale of digital assets and an unrealized loss of $25.0 million related to changes in the fair value of our remaining digital asset holdings. These losses were driven by volatility in Bitcoin market prices during the period and reflect our strategy of holding Bitcoin as a primary treasury reserve asset, which subjects our results of operations to significant market price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included a gain in the change in fair value of conversion feature - preferred units of $56.3 million, a $2.4 million gain related to changes in the fair value of the conversion feature embedded in our Convertible Notes and a $0.1 million gain related to changes in the fair value of our put option liability. These amounts reflect non-cash fair value remeasurements recognized in earnings during the period from June 17, 2025 (inception) through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totaled $0.5 million, primarily attributable to amortization of capitalized financing-related costs incurred and amortization of debt discount during the period from June 17, 2025 (inception) through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during the period of $0.3 million was primarily attributable to interest earned through the US Bank collateral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for the three months ended June 30, 2026 (in thousands, except share and per share data). The comparison period presented in our unaudited condensed consolidated financial statements is the period from June 10, 2025 (inception) through June 30, 2025, which reflects the historical results of Legacy ProCap and is not comparable to the three months ended June 30, 2026. This information should be read together with our unaudited condensed consolidated financial statements and the related notes included elsewhere in this 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1"/>
        <w:gridCol w:w="60"/>
        <w:gridCol w:w="268"/>
        <w:gridCol w:w="1446"/>
        <w:gridCol w:w="95"/>
        <w:gridCol w:w="60"/>
        <w:gridCol w:w="429"/>
        <w:gridCol w:w="2100"/>
        <w:gridCol w:w="95"/>
        <w:gridCol w:w="60"/>
        <w:gridCol w:w="161"/>
        <w:gridCol w:w="877"/>
        <w:gridCol w:w="95"/>
        <w:gridCol w:w="60"/>
        <w:gridCol w:w="85"/>
        <w:gridCol w:w="1060"/>
        <w:gridCol w:w="233"/>
      </w:tblGrid>
      <w:tr>
        <w:trPr/>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9" w:type="dxa"/>
            <w:gridSpan w:val="2"/>
            <w:tcBorders/>
            <w:vAlign w:val="center"/>
          </w:tcPr>
          <w:p>
            <w:pPr>
              <w:pStyle w:val="TableContents"/>
              <w:bidi w:val="0"/>
              <w:spacing w:before="0" w:after="283"/>
              <w:jc w:val="center"/>
              <w:rPr>
                <w:b/>
              </w:rPr>
            </w:pPr>
            <w:r>
              <w:rPr>
                <w:b/>
              </w:rPr>
              <w:t>Period from June 10, 2025 (Inception) through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3" w:type="dxa"/>
            <w:tcBorders/>
            <w:vAlign w:val="center"/>
          </w:tcPr>
          <w:p>
            <w:pPr>
              <w:pStyle w:val="TableContents"/>
              <w:bidi w:val="0"/>
              <w:spacing w:before="0" w:after="283"/>
              <w:jc w:val="center"/>
              <w:rPr/>
            </w:pPr>
            <w:r>
              <w:rPr/>
              <w:t> </w:t>
            </w:r>
          </w:p>
        </w:tc>
      </w:tr>
      <w:tr>
        <w:trPr/>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3" w:type="dxa"/>
            <w:tcBorders/>
            <w:vAlign w:val="center"/>
          </w:tcPr>
          <w:p>
            <w:pPr>
              <w:pStyle w:val="TableContents"/>
              <w:bidi w:val="0"/>
              <w:spacing w:before="0" w:after="283"/>
              <w:jc w:val="center"/>
              <w:rPr/>
            </w:pPr>
            <w:r>
              <w:rPr/>
              <w:t> </w:t>
            </w:r>
          </w:p>
        </w:tc>
      </w:tr>
      <w:tr>
        <w:trPr/>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9"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233" w:type="dxa"/>
            <w:tcBorders/>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6"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2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11,304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11,296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3,723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15,019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187738</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(14,990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(14,982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187275</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21" w:type="dxa"/>
            <w:tcBorders/>
            <w:shd w:fill="FFFFFF" w:val="clear"/>
            <w:vAlign w:val="center"/>
          </w:tcPr>
          <w:p>
            <w:pPr>
              <w:pStyle w:val="TableContents"/>
              <w:bidi w:val="0"/>
              <w:spacing w:before="0" w:after="283"/>
              <w:jc w:val="left"/>
              <w:rPr/>
            </w:pPr>
            <w:r>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(49,362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14,296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(63,658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-445</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0</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(52,561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FFFFFF" w:val="clear"/>
            <w:tcMar>
              <w:bottom w:w="28" w:type="dxa"/>
            </w:tcMar>
            <w:vAlign w:val="center"/>
          </w:tcPr>
          <w:p>
            <w:pPr>
              <w:pStyle w:val="TableContents"/>
              <w:bidi w:val="0"/>
              <w:spacing w:before="0" w:after="283"/>
              <w:jc w:val="right"/>
              <w:rPr/>
            </w:pPr>
            <w:r>
              <w:rPr/>
              <w:t>24,626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(77,187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-313</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Net (loss) income before taxes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(67,551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24,618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(92,169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-374</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(2,504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(65,047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(89,665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-364</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June 30, 2026 was $0.04 million and for the period from June 10, 2025 (Inception) through June 30, 2025 was $0. Revenue remained limited as we launched new revenue generating products during the period relating to Silvia Insights and CFO Silvia. The Company’s revenue growth will depend on the successful commercialization of its products and services and the continued execution of its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$11.3 million for the three months ended June 30, 2026, compared to $0 for the period from June 10, 2025 (Inception) through June 30, 2025. The 2026 period reflects operations as a public company and inclusion of $6.7 million of payroll compensation (including a one-time signing bonus of $5.0 million for the Chief Technology Officer), $1.3 million of software licensing fees, $1.2 million of amortization of acquired intangible assets, $1.0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$3.7 million for the three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three months ended June 30, 2026 was $52.6 million, compared to other income, net of $24.6 million for the period from June 10, 2025 (Inception) through June 30, 2025. The Company’s results during the period were primarily driven by the change in fair value of digital assets as a result of decline in Bitcoin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$49.4 million for the three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three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and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 was $0.1 million for the three months ended June 30, 2026, compared to $0 for the period from June 10, 2025 (inception) through June 30, 2025. The increase was primarily attributable to income earned on cash, cash equivalents, and investments held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three months ended June 30, 2026, compared to $10.3 million for the period from June 10, 2025 (inception) through June 30, 2025. The change was attributable to the absence of derivative liabilities during the 2026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for the six months ended June 30, 2026 (in thousands, except share and per share data). The comparison period presented in our unaudited condensed consolidated financial statements is the period from June 10, 2025 (inception) through June 30, 2025, which reflects the historical results of Legacy ProCap and is not comparable to the six months ended June 30, 2026. This information should be read together with our unaudited condensed consolidated financial statements and the related notes included elsewhere in this 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0"/>
        <w:gridCol w:w="60"/>
        <w:gridCol w:w="229"/>
        <w:gridCol w:w="1436"/>
        <w:gridCol w:w="95"/>
        <w:gridCol w:w="60"/>
        <w:gridCol w:w="427"/>
        <w:gridCol w:w="2089"/>
        <w:gridCol w:w="95"/>
        <w:gridCol w:w="60"/>
        <w:gridCol w:w="143"/>
        <w:gridCol w:w="897"/>
        <w:gridCol w:w="95"/>
        <w:gridCol w:w="60"/>
        <w:gridCol w:w="85"/>
        <w:gridCol w:w="1060"/>
        <w:gridCol w:w="234"/>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5" w:type="dxa"/>
            <w:gridSpan w:val="2"/>
            <w:tcBorders/>
            <w:vAlign w:val="center"/>
          </w:tcPr>
          <w:p>
            <w:pPr>
              <w:pStyle w:val="TableContents"/>
              <w:bidi w:val="0"/>
              <w:spacing w:before="0" w:after="283"/>
              <w:jc w:val="center"/>
              <w:rPr>
                <w:b/>
              </w:rPr>
            </w:pPr>
            <w:r>
              <w:rPr>
                <w:b/>
              </w:rPr>
              <w:t>For the 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16" w:type="dxa"/>
            <w:gridSpan w:val="2"/>
            <w:tcBorders/>
            <w:vAlign w:val="center"/>
          </w:tcPr>
          <w:p>
            <w:pPr>
              <w:pStyle w:val="TableContents"/>
              <w:bidi w:val="0"/>
              <w:spacing w:before="0" w:after="283"/>
              <w:jc w:val="center"/>
              <w:rPr>
                <w:b/>
              </w:rPr>
            </w:pPr>
            <w:r>
              <w:rPr>
                <w:b/>
              </w:rPr>
              <w:t>Period from June 10, 2025 (Inception) through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4" w:type="dxa"/>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4" w:type="dxa"/>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6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6"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436"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22,811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285138</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Operating Loss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284663</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(154,829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14,296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(169,125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-1183</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(152,529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24,626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(177,155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-719</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Net (loss) income before taxes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(175,310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(199,928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-812</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436" w:type="dxa"/>
            <w:tcBorders/>
            <w:shd w:fill="FFFFFF" w:val="cle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w:t>
            </w:r>
          </w:p>
        </w:tc>
        <w:tc>
          <w:tcPr>
            <w:tcW w:w="2089" w:type="dxa"/>
            <w:tcBorders/>
            <w:shd w:fill="FFFFFF" w:val="cle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897" w:type="dxa"/>
            <w:tcBorders/>
            <w:shd w:fill="FFFFFF" w:val="clear"/>
            <w:vAlign w:val="center"/>
          </w:tcPr>
          <w:p>
            <w:pPr>
              <w:pStyle w:val="TableContents"/>
              <w:bidi w:val="0"/>
              <w:spacing w:before="0" w:after="283"/>
              <w:jc w:val="right"/>
              <w:rPr/>
            </w:pPr>
            <w:r>
              <w:rPr/>
              <w:t>(197,424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-802</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six months ended June 30, 2026 and for the period from June 10, 2025 (Inception) through June 30, 2025 was $0.04 million and $0, respectively, as we launched new revenue generating products during the June 30, 2026 period relating to Silvia Insights and the CFO Silvia Acquisition. The Company’s revenue growth will depend on the successful commercialization of its products and services and the continued execution of its growth strategy.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$15.6 million for the six months ended June 30, 2026, compared to $0 for the period from June 10, 2025 (Inception) through June 30, 2025. The 2026 period reflects operations as a public company and inclusion of $7.7 million of payroll compensation (including a one-time signing bonus of $5.0 million for the Chief Technology Officer), $1.3 million of software licensing fees, $1.2 million of amortization of acquired intangible assets, $2.8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$7.3 million for the six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$152.5 million for the six months ended June 30, 2026, compared to other income, net of $24.6 million for the period from June 10, 2025 (inception) through June 30, 2025. The change was primarily attributable to unrealized losses on digital assets recognized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$154.8 million for the six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six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resulted in income of $0.9 million for the six months ended June 30, 2026, compared to $0 for the period from June 10, 2025 (inception) through June 30, 2025. The income was attributable to changes in the fair value of the conversion feature embedded within the Company’s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 on put option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liabilities was $0.9 million for the six months ended June 30, 2026, compared to $0 for the period from June 10, 2025 (inception) through June 30, 2025. The loss was attributable to the settlement of put option liabilities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extinguishment of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 was $5.9 million for the six months ended June 30, 2026, compared to $0 for the period from June 10, 2025 (inception) through June 30, 2025. The gain was primarily attributable to the repurchase of a portion of the Company’s outstanding convertible notes at a discount to the principal outstanding.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$1.9 million for the six months ended June 30, 2026, compared to $0 for the period from June 10, 2025 (inception) through June 30, 2025. The increase was primarily attributable to amortization of debt discount and debt issuance costs associated with the Company’s convertible notes, as well as the repayment of a portion of such notes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six months ended June 30, 2026, compared to income of $10.3 million for the period from June 10, 2025 (inception) through June 30, 2025. The decrease was attributable to the absence of derivative liabilities during the 2026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approximately $45.0 million, restricted cash of approximately $149.9 million and working capital of approximately $194.8 million. Restricted cash primarily related to collateral requirements under the Convertible Notes and our written Bitcoin put option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$15.3 million, no restricted cash and a working capital deficit of approximately $77.3 million. The working capital deficit resulted primarily from the reclassification of the Convertible Notes as current liabilities as of June 30, 2026 as a result of the holders’ contractual repurchase right that becomes exercisable on June 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we reported a net loss of approximately $29.0 million. This net loss was primarily driven by factors that are inherently volatile and subject to market conditions, including:</w:t>
      </w:r>
    </w:p>
    <w:p>
      <w:pPr>
        <w:pStyle w:val="TextBody"/>
        <w:bidi w:val="0"/>
        <w:spacing w:before="0" w:after="0"/>
        <w:ind w:left="0" w:right="0" w:firstLine="72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losses related to Bitcoin holdings due to fluctuations in the market price of Bitcoin;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the Business Combination and operating as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our results of operations may fluctuate significantly from period to period, as discussed further in Note 11 to our audited consolidated financial statements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the Business Combination and issued the Convertible Notes in the aggregate principal amount of $235.0 million for an aggregate purchase price equal to 97% of the aggregate principal amount of the Convertible Notes. See Note 8 to our audited financial statements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aggregate principal amount of the outstanding convertible notes was $99.6 million. Although the notes mature in December 2028, holders may have contractual repurchase rights that become exercisable beginning June 5, 2027. As a result, the convertible notes were classified as current liabilities as of June 30, 2026. See Note 7, Convertible Notes to our unaudited condensed consolidated financial statements,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held approximately 5,355 Bitcoin with an aggregate fair value of approximately $313.4 million, a portion of which serves as collateral under our convertible note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we currently have no off-balance sheet financing arrangements and did not have any material capital expenditure commitments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In evaluating our liquidity position, we considered our anticipated operating cash needs, the timing and nature of potential obligations under the Convertible Notes, our current cash and cash equivalents balance, and the availability of financing and capital-raising alternatives. While our Bitcoin is held for long-term appreciation, we also considered it in the overall evaluation of our liquidity position given its active trading market. As a result, a significant increase or decrease in the market value or liquidity of Bitcoin would impact our evaluation.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near term, we expect to use available resources primarily to fund operating expenses, working capital requirements, investments in technology and infrastructure, and the development of our asset management and exchange-traded fund businesses. With respect to those businesses, we expect these uses to include (i) registration and compliance costs of the Investment Manager, including personnel, systems and third-party service providers, which support the Investment Manager’s advisory business as a whole, (ii) the General Partner’s capital contributions to the Initial Fund, a portion of which is expected to be returned as third-party investors are admitted at subsequent closings, (iii) any capital or other support that we elect or agree to provide to the SPV Fund or other SPVs, which we are not obligated to provide unless we agree to do so, and (iv) seed capital and expense limitation or reimbursement obligations that we agree to provide in connection with the Silvia ETFs, if any. As of the date of this prospectus, we have not committed to provide seed capital to any Silvia ETF. Amounts that we commit to those businesses, if any, would not be available for our existing operations, debt service, acquisitions or other corporate purposes, and we expect those costs to increase in future periods and to be incurred before, and substantially in advance of, any related revenue. Capital contributed by third-party investors to the Funds or the Silvia ETFs would not be available to fund our corporate operations. Over the longer term, we may deploy capital to support strategic acquisitions, business expansion initiatives, investments in digital assets and potential share repurchase programs. The timing and magnitude of those expenditures will depend on market conditions, the availability of capital and strategic opportunities. Based on our assessment of its anticipated operating cash needs, potential obligations under the Convertible Notes, financial position, and available financing and capital-raising alternatives, we believe that the Company has sufficient resources to satisfy anticipated working capital and operating requirements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our Board approved the 2025 Repurchase Program, providing for the repurchase of up to $100 million of our outstanding shares of Common Stock, and on December 12, 2025 we entered into an open market share repurchase agreement with TD Securities Inc., which agreed to act as our non-exclusive agent to repurchase shares of Common Stock in the open market. During December 2025, we repurchased 839,396 shares of Common Stock for approximately $2.8 million, including commissions, at an average price of $3.391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repurchased 2,570,974 shares of Common Stock for approximately $4.8 million, including commissions, at an average price of $1.85 per share, and during the six months ended June 30, 2026 we repurchased 5,238,030 shares of Common Stock for approximately $12.8 million, including commissions. As of June 30, 2026, approximately $84.4 million remained available under the 2025 Repurchase Program. As of June 30, 2026, we held 6,077,426 shares of Common Stock in treasury, compared to 839,396 shares of Common Stock held in treasury as of December 31, 2025. Repurchases under the 2025 Repurchase Program reduce our cash and cash equivalents, Bitcoin holdings when Bitcoin is used to fund repurchases, the capital otherwise available to acquire Bitcoin, to service the Convertible Notes or to fund our operations. The 2025 Repurchase Program does not obligate us to repurchase any shares of Common Stock and may be suspended, modified or terminated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tbl>
      <w:tblPr>
        <w:tblW w:w="6014" w:type="dxa"/>
        <w:jc w:val="left"/>
        <w:tblInd w:w="0" w:type="dxa"/>
        <w:tblLayout w:type="fixed"/>
        <w:tblCellMar>
          <w:top w:w="0" w:type="dxa"/>
          <w:left w:w="0" w:type="dxa"/>
          <w:bottom w:w="0" w:type="dxa"/>
          <w:right w:w="0" w:type="dxa"/>
        </w:tblCellMar>
      </w:tblPr>
      <w:tblGrid>
        <w:gridCol w:w="3890"/>
        <w:gridCol w:w="60"/>
        <w:gridCol w:w="190"/>
        <w:gridCol w:w="1764"/>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tc>
        <w:tc>
          <w:tcPr>
            <w:tcW w:w="110" w:type="dxa"/>
            <w:tcBorders/>
            <w:vAlign w:val="center"/>
          </w:tcPr>
          <w:p>
            <w:pPr>
              <w:pStyle w:val="TableContents"/>
              <w:bidi w:val="0"/>
              <w:spacing w:before="0" w:after="283"/>
              <w:jc w:val="center"/>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center"/>
              <w:rPr/>
            </w:pPr>
            <w:r>
              <w:rPr/>
              <w:t> </w:t>
            </w:r>
          </w:p>
        </w:tc>
      </w:tr>
      <w:tr>
        <w:trPr/>
        <w:tc>
          <w:tcPr>
            <w:tcW w:w="389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764" w:type="dxa"/>
            <w:tcBorders/>
            <w:shd w:fill="CCEEFF" w:val="clear"/>
            <w:vAlign w:val="center"/>
          </w:tcPr>
          <w:p>
            <w:pPr>
              <w:pStyle w:val="TableContents"/>
              <w:bidi w:val="0"/>
              <w:spacing w:before="0" w:after="283"/>
              <w:jc w:val="right"/>
              <w:rPr/>
            </w:pPr>
            <w:r>
              <w:rPr/>
              <w:t>(7,491,814</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764" w:type="dxa"/>
            <w:tcBorders/>
            <w:shd w:fill="FFFFFF" w:val="clear"/>
            <w:vAlign w:val="center"/>
          </w:tcPr>
          <w:p>
            <w:pPr>
              <w:pStyle w:val="TableContents"/>
              <w:bidi w:val="0"/>
              <w:spacing w:before="0" w:after="283"/>
              <w:jc w:val="right"/>
              <w:rPr/>
            </w:pPr>
            <w:r>
              <w:rPr/>
              <w:t>(521,344,966</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764" w:type="dxa"/>
            <w:tcBorders/>
            <w:shd w:fill="CCEEFF" w:val="clear"/>
            <w:vAlign w:val="center"/>
          </w:tcPr>
          <w:p>
            <w:pPr>
              <w:pStyle w:val="TableContents"/>
              <w:bidi w:val="0"/>
              <w:spacing w:before="0" w:after="283"/>
              <w:jc w:val="right"/>
              <w:rPr/>
            </w:pPr>
            <w:r>
              <w:rPr/>
              <w:t>723,698,239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period from June 17, 2025 (inception) through December 31, 2025, was $7.5 million. Non-cash adjustments to reconcile net loss to net cash used in operating activities was $21.5 million and were primarily due to, a realized loss on the sale of Bitcoin of $54.5 million an unrealized loss change in fair value of Bitcoin of $25.0 million, amortization of debt discount and debt issuance costs of $0.5 million, stock-based compensation expense of $0.4 million, and depreciation expense of $0.03 million offset by an unrealized gain from the change in fair value of the Convertible Notes’ conversion feature of $2.4 million, an unrealized gain change in fair value of the derivative securities liability of $0.1 million, and an unrealized gain in the change in the fair value of the preferred units conversion feature of $56.3 million and $0.2 million in changes in operating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period from June 17, 2025 (inception) through December 31, 2025, was $521.3 million, driven by purchases of Bitcoin of $983.3 million and the purchase of fixed assets of $0.1 million, partially offset by proceeds from the sale of Bitcoin of $462.0 million, as reflected in the accompanying consolidated Statement of Cash Flows included in our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period from June 17, 2025 (inception) through December 31, 2025, was $723.7 million and consisted of proceeds from the sales of Preferred Units of $495.7 million and issuance of Convertible Notes of $228.0 million, proceeds from the reverse recapitalization of $12.2 million, proceeds from derivative securities of $0.5 million, and proceeds from the promissory note, related party of $1.8 million, offset by debt issuance costs of $9.7 million, payment of the promissory note, related party of $1.9 million, and purchase of treasury stock of $2.9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six months ended June 30, 2026 and for the period from June 10, 2025 (Inception) through June 30, 2025 (In thousands):</w:t>
      </w:r>
    </w:p>
    <w:p>
      <w:pPr>
        <w:pStyle w:val="TextBody"/>
        <w:bidi w:val="0"/>
        <w:spacing w:before="0" w:after="0"/>
        <w:ind w:left="0" w:right="0" w:hanging="0"/>
        <w:jc w:val="both"/>
        <w:rPr>
          <w:caps w:val="false"/>
          <w:smallCaps w:val="false"/>
        </w:rPr>
      </w:pPr>
      <w:r>
        <w:rPr>
          <w:caps w:val="false"/>
          <w:smallCaps w:val="false"/>
        </w:rPr>
        <w:t> </w:t>
      </w:r>
    </w:p>
    <w:tbl>
      <w:tblPr>
        <w:tblW w:w="8873" w:type="dxa"/>
        <w:jc w:val="left"/>
        <w:tblInd w:w="0" w:type="dxa"/>
        <w:tblLayout w:type="fixed"/>
        <w:tblCellMar>
          <w:top w:w="0" w:type="dxa"/>
          <w:left w:w="0" w:type="dxa"/>
          <w:bottom w:w="0" w:type="dxa"/>
          <w:right w:w="0" w:type="dxa"/>
        </w:tblCellMar>
      </w:tblPr>
      <w:tblGrid>
        <w:gridCol w:w="4775"/>
        <w:gridCol w:w="60"/>
        <w:gridCol w:w="292"/>
        <w:gridCol w:w="1827"/>
        <w:gridCol w:w="95"/>
        <w:gridCol w:w="60"/>
        <w:gridCol w:w="228"/>
        <w:gridCol w:w="1426"/>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10, 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center"/>
              <w:rPr/>
            </w:pPr>
            <w:r>
              <w:rPr/>
              <w:t> </w:t>
            </w:r>
          </w:p>
        </w:tc>
      </w:tr>
      <w:tr>
        <w:trPr/>
        <w:tc>
          <w:tcPr>
            <w:tcW w:w="477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(14,541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(30,724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(476,000</w:t>
            </w:r>
          </w:p>
        </w:tc>
        <w:tc>
          <w:tcPr>
            <w:tcW w:w="11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283"/>
              <w:jc w:val="both"/>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(134,258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476,000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$14.5 million for the six months ended June 30, 2026, compared to $0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reflected the Company’s net loss of $172.8 million, adjusted for non-cash items of $162.0 million. The most significant adjustment was $154.8 million of unrealized losses on digital assets resulting from declines in the fair value of Bitcoin holdings during the period. Changes in operating assets and liabilities resulted in a net use of cash of $3.8 million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operating activities was not significant. Net income of $24.6 million, primarily attributable to unrealized gains on digital assets and gains recognized from changes in the fair value of the conversion feature liability, was largely offset by non-cash fair value adjustments and changes in working capital accounts.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$30.7 million for the six months ended June 30, 2026. The use of cash was primarily attributable to $36.0 million of purchases of digital assets, $1.3 million paid in connection with the CFO Silvia acquisition, and $0.3 million of capital expenditures for property and equipment. These cash outflows were partially offset by $6.9 million of proceeds from sales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used in investing activities consisted primarily of $476.0 million of purchases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$134.3 million for the six months ended June 30, 2026. The use of cash primarily consisted of $119.2 million of payments to repurchase a portion of the Company’s outstanding convertible notes, $12.8 million of treasury stock repurchases, $1.7 million of purchases of derivative securities, $1.0 million of tax payments associated with the vesting of restricted stock units, and $0.6 million of settlements of derivative securities. These outflows were partially offset by $0.9 million of proceeds received from derivative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financing activities consisted primarily of $476.0 million of proceeds from the issuance of preferred units, which were used principally to fund the acquisition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for the period from June 17, 2025 (inception) through December 31, 2025, we identified a material weakness in our internal control over financial reporting relating to (i) inadequate segregation of duties and effective risk assessment and (ii) insufficient written policies and procedures for accounting and financial reporting with respect to the requirements and application of both GAAP and SEC guidelines.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evaluation under the supervision and with the participation of our management, our Chief Executive Officer and our Chief Financial Officer concluded that our disclosure controls and procedures were not effective as of December 31, 2025 or as of June 30, 2026, due to the material weakness described above. There was no change in our internal control over financial reporting during the quarter ended June 30, 2026 that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with oversight from our Audit Committee, are in the process of developing and implementing a remediation plan specific to the material weakness, which is expected to include the adequate segregation of duties, effective risk assessment and the implementation of written policies and procedures for accounting and financial reporting. The material weakness will not be considered remediated until the applicable remedial controls operate for a sufficient period of time and management has concluded, through testing, that the related controls are operating effectively, and remediation was not complete as of June 30, 2026. We cannot assure you that these measures will be sufficient to remediate the material weakness or that additional material weaknesses will not be identified in the future. See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financial statements and unaudited condensed consolidated financial statements and in each case, the accompanying notes thereto included elsewhere in this prospectus are prepared in accordance with GAAP.</w:t>
      </w:r>
    </w:p>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unaudited condensed consolidated financial statements requires us to make estimates and assumptions that affect the reported amounts of assets, liabilities, costs and expenses, and related disclosure. We have based our estimates on various assumptions that are believed to be reasonable under the circumstances, the results of which form the basis for making judgments about the carrying values of assets and liabilities that are not readily apparent from other sources. We are subject to uncertainties such as the impact of future events, economic and political factors, and changes in our business environment; therefore, actual results could differ significantly from these estimates under different assumptions or conditions. To the extent that there are differences between our estimates and actual results, our future unaudited condensed consolidated financial statement presentation, financial condition, results of operations, and cash flows will be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it requires assumptions about matters that were highly uncertain at the time the estimate was made and if changes in those assumptions, or changes in the estimate that are reasonably likely to occur from period to period, would have a material effect on our financial condition or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“Summary of Significant Accounting Policies” described in Note 3 to our audited consolidated financial statements included elsewhere in this prospectus for a description of our significant accounting policies. During the six months ended June 30, 2026, we identified the following additional critical accounting estimates as a result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acquisitions in accordance with ASC 805, Business Combinations. The allocation of purchase consideration to the assets acquired and the liabilities assumed requires significant estimates and management judgment, particularly with respect to the valuation of identifiable intangible assets, contingent consideration arrangements, the estimated useful lives of acquired assets and certain tax-related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intangible assets and contingent consideration involves the use of significant assumptions, including projected future cash flows, royalty rates, customer attrition rates, discount rates, expected volatility and other market-based inputs. Changes in those assumptions could materially affect the amounts assigned to the acquired assets and the assumed liabilities, the resulting amount of goodwill recognized and future amortization expense. In addition, because the purchase price allocation remains subject to measurement-period adjustments, future revisions to estimates may result in changes to the recorded amounts of the assets acquired and the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share-based compensation in accordance with ASC 718, Compensation—Stock Compensation. The determination of the grant-date fair value of certain share-based awards requires significant judgment and the use of valuation models, particularly for awards containing market-based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those awards requires management to develop assumptions regarding expected stock price volatility, expected term, risk-free interest rates, dividend yield and other market-based inputs. Changes in those assumptions may significantly affect the estimated fair value of the awards and, accordingly, the amount and timing of compensation expense recognized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our financing and derivative activities,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described in Note 3 of our audited consolidated financial statements and Note 2 of our unaudited condensed consolidated financial statements included elsewhere in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t>
      </w:r>
      <w:r>
        <w:rPr>
          <w:rFonts w:ascii="Times New Roman;Times;Serif" w:hAnsi="Times New Roman;Times;Serif"/>
          <w:b w:val="false"/>
          <w:i w:val="false"/>
          <w:caps w:val="false"/>
          <w:smallCaps w:val="false"/>
          <w:sz w:val="20"/>
          <w:u w:val="single"/>
        </w:rPr>
        <w:t>EGC</w:t>
      </w:r>
      <w:r>
        <w:rPr>
          <w:rFonts w:ascii="Times New Roman;Times;Serif" w:hAnsi="Times New Roman;Times;Serif"/>
          <w:b w:val="false"/>
          <w:i w:val="false"/>
          <w:caps w:val="false"/>
          <w:smallCaps w:val="false"/>
          <w:sz w:val="20"/>
        </w:rPr>
        <w:t>”), as defined in the Jumpstart Our Business Startups Act of 2012, as amended (the “</w:t>
      </w:r>
      <w:r>
        <w:rPr>
          <w:rFonts w:ascii="Times New Roman;Times;Serif" w:hAnsi="Times New Roman;Times;Serif"/>
          <w:b w:val="false"/>
          <w:i w:val="false"/>
          <w:caps w:val="false"/>
          <w:smallCaps w:val="false"/>
          <w:sz w:val="20"/>
          <w:u w:val="single"/>
        </w:rPr>
        <w:t>JOBS Act</w:t>
      </w:r>
      <w:r>
        <w:rPr>
          <w:rFonts w:ascii="Times New Roman;Times;Serif" w:hAnsi="Times New Roman;Times;Serif"/>
          <w:b w:val="false"/>
          <w:i w:val="false"/>
          <w:caps w:val="false"/>
          <w:smallCaps w:val="false"/>
          <w:sz w:val="20"/>
        </w:rPr>
        <w: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of 2010;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our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EGC until the earlier of (1) the last day of the fiscal year (a) following the fifth anniversary of the date of the initial public offering, (b) in which we have total annual gross revenue of at least $1.235 billion, or (c) in which we are deemed to be a large accelerated filer, which means the market value of our shares of Common Stock that are held by non-affiliates exceeds $700 million as of the prior June 30, and (2) the date on which we have issued more than $1.0 billion in non-convertible debt during the prior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Market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investment is measured using observed prices from active exchanges and adjustments are recorded in net income through “other income (expenses), net” in our unaudited condensed consolidated statements of operations. The Bitcoin market price may fluctuate significantly and a decline in the market price of Bitcoin could result in a material adverse effect on our financial results in future periods. As of June 30, 2026 and December 31, 2025, the fair value of our Bitcoin investment included in digital assets was $313.4 million and $441.8 million, respectively. For the six months ended June 30, 2026, we recognized an unrealized loss from the remeasurement of our Bitcoin investment of $154.8 million. See “Risk Factors” for additional information regarding the risks related to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by Item 305 of Regulation S-K.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BP_011"/>
      <w:bookmarkEnd w:id="12"/>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we are a U.S.-based, modern finance company. Our mission is to help independent investors make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initially launched with Bitcoin-focused media products and Bitcoin holdings on our consolidated balance sheet. In 2026, we added strategies relating to the use of AI and automation to support the development and delivery of financial products and services, including the launch of Silvia Insights and our acquisition of CFO Silvia, Inc. Our corporate strategy is currently focused on our AI-powered operations and the de-emphasis of our advertising and media operations, while maintaining our Bitcoin treasury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conduct an asset management business through the Investment Manager. The Investment Manager serves as investment adviser to the Initial Fund and to SPV Fund and may serve as investment adviser to additional private funds and to other special purpose vehicles, alternative investment vehicles, co-investment vehicles and similar vehicles (together with the SPV Fund, “</w:t>
      </w:r>
      <w:r>
        <w:rPr>
          <w:rFonts w:ascii="Times New Roman;Times;Serif" w:hAnsi="Times New Roman;Times;Serif"/>
          <w:b w:val="false"/>
          <w:i w:val="false"/>
          <w:caps w:val="false"/>
          <w:smallCaps w:val="false"/>
          <w:sz w:val="20"/>
          <w:u w:val="single"/>
        </w:rPr>
        <w:t>SPVs</w:t>
      </w:r>
      <w:r>
        <w:rPr>
          <w:rFonts w:ascii="Times New Roman;Times;Serif" w:hAnsi="Times New Roman;Times;Serif"/>
          <w:b w:val="false"/>
          <w:i w:val="false"/>
          <w:caps w:val="false"/>
          <w:smallCaps w:val="false"/>
          <w:sz w:val="20"/>
        </w:rPr>
        <w:t>”). The Investment Manager is also proposed to serve as investment sub-adviser to five proposed actively managed exchange-traded funds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which have not launched. We refer to the Initial Fund, together with any other private funds and SPVs that we or our subsidiaries sponsor, advise or manage, as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the term “Funds” does not include the Silvia ETFs. Our asset management activities are at an early stage, the Investment Manager’s registration as an investment adviser with the SEC has not yet become effective, and our historical results of operations do not reflect significant operations of those activities. See “—Asset Management”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built upon a foundational belief that advances in AI may enable more scalable and efficient tools for portfolio analysis, financial planning, and investor decision support. Consistent with this approach, we expect to increasingly rely on software-based systems and automated processes as part of our operating model. We further believe that Bitcoin represents a superior long-term store of value and a viable alternative to traditional fiat-based reserve assets, and that Bitcoin will play an increasingly important role as a reserve asset for individuals, corporations, and governments worldwide. To support our operations, we have initiated our plan to accumulate and hold Bitcoin as a treasury reserve asset. As of June 30, 2026, we held approximately 5,355 Bitcoin with an aggregate cost basis of approximately $493.3 million and an aggregate fair value of approximately $313.4 million, a portion of which serves as collateral under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led by our Chief Executive Officer, Anthony Pompliano, who also serves as the founder and Chief Executive Officer of Professional Capital Management, Chief Executive Officer of the Investment Manager, expected portfolio manager of the proposed Silvia ETFs, and Chief Executive Officer of ProCap Acquisition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Products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strategic expansion into AI software, announced in February 2026, we intend to develop and commercialize AI-powered products and services focused on financial education, portfolio analysis, and investor decision support. We believe that the adoption of AI technologies in financial services is accelerating, with industry participants increasingly deploying AI systems across compliance, risk management, customer engagement, and financial planning functions. We intend to position ourselves to capitalize on this trend through the development and commercialization of AI-powered financial tools for consumers and, over time, institutional and enterprise users. Our AI products rely on both proprietary technology and third-party foundation models, and we do not develop or train our own large language models from scratch.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launched Silvia Insights, an AI-based research platform intended to deliver research to independent investors.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completed our acquisition of CFO Silvia, Inc. pursuant to an Agreement and Plan of Merger, dated as of February 9, 2026, and CFO Silvia, Inc. became our wholly owned subsidiary. For additional information regarding the acquisition, see “Prospectus Summary - 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Inc. has developed a consumer-facing AI platform that aggregates and organizes financial data to provide users with automated financial education, tracking and analytical tools. The platform connects to financial account integrations, including brokerage accounts, retirement accounts, cryptocurrency wallets, real estate valuation services, and alternative investment platforms, to deliver users a consolidated, real-time view of their net worth, holdings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utilizes AI-driven analytical tools, including large language models licensed from third-party providers,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incorporates human oversight and review processes designed to identify and mitigate potential errors or harmful outputs, although these processes may not be sufficient to prevent all inaccurate or misleading outputs. The platform does not provide personalized investment advice within the meaning of the Advisers Act, as amended, and is not intended to serve as a registered investment adviser or replace the judgment of a qualified financial professional.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leverage CFO Silvia, Inc.’s technology platform, data infrastructure and development team, led by Shain Noor in his capacity as our Chief Technology Officer, to expand our AI product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strategy are at an early stage of development. CFO Silvia, Inc. has limited historical operations, and we have not yet generated material revenue from AI-powered products or services. The development, launch, and commercialization of our AI-powered product offerings will require significant additional investment in technology, talent, and infrastructure. The market for AI-powered financial products is rapidly evolving and increasingly competitive, and there can be no assurance that our products will achieve market acceptance, generate meaningful revenue, or compete effectively against existing or future competitors with greater resources and more established market positions. See “Risk Factors” for additional discussion of risks related to our AI-powered products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Adviser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the Investment Manager filed Parts 1 and 2A of Form ADV with the SEC to register as an investment adviser under the Advisers Act. The Investment Manager’s registration has not yet become effective. The Investment Manager currently relies on exemptions from registration under applicable federal and state law in connection with its private fund advisory activities, including its advisory services to the Initial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Innovation Fund I GP, LLC, the general partner of the Initial Fund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is also our wholly-owned subsidiary, is a legal entity separate from the Investment Manager and is not currently registered as an investment adviser with the SEC. Registration under the Advisers Act applies at the adviser level, and the Investment Manager’s registration will not constitute registration of Silvia, Inc., the General Partner, any Fund, any Silvia ETF or our consumer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business is at an early stage. We expect the registration process and the continued development of the Investment Manager’s compliance program to require significant expenditures and management attention, and we expect these costs to be incurred before our asset management business generates meaningful revenue. There can be no assurance that the Investment Manager’s registration will become effective when anticipated or at all. See “—Government Regulation—Investment Adviser Registration and Advisory Activities” below and “Risk Factors—Risks Related to Our Expansion into Asset Management.”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we expanded our business to include asset management through the launch of the Initial Fund, our initial asset management product. The Investment Manager serves as investment adviser to the Initial Fund, and the General Partner serves as its general partner. We hold indirectly an interest in the Initial Fund through the General Partner. The Initial Fund expects to invest primarily in technology-sector companies and assets, many of which may be private and illiquid, although it has broad flexibility as to geography, strategy and asset class. As of June 30, 2026, the Initial Fund and the related entities had not commenced significant operations and had not engaged in material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economics of the Initial Fund are earned at the subsidiary level. Management fees from the Initial Fund are payable to the Investment Manager, and carried interest is payable to the General Partner. Silvia, Inc., as the parent company, does not receive management fees or carried interest directly. Management-fee revenue from the Initial Fund will therefore depend substantially on the ability of the Investment Manager and the General Partner to raise capital commitments from third-party investors, and any carried interest will be long-dated, may not be earned for many years, if at all, and may be subject to a fund-level clawback, which would reduce amounts otherwise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and a portion of that funded capital is expected to be returned to the General Partner as third-party investors are admitted at subsequent closings. There can be no assurance as to the amount or timing of any such return. We may also elect to provide additional capital or support to the Funds, but we are under no obligation to provide any such support unless we agree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Purpose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we expanded our asset management business through the launch of the SPV Fund, which is advised by the Investment Manager. The SPV Fund has committed to invest in three privately-held companies for a total of $11.0 million. The $11.0 million amount represents the aggregate investments to be made by the SPV Fund as of October 6, 2026 and is not revenue to us. As of October 6, 2026, we had not earned any management fees on those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of the SPV Fund and its investments occurred after June 30, 2026 and are not reflected in our historical results of operations included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ETF Trust, filed a post-effective amendment to its registration statement on Form N-1A with the SEC with respect to the Silvia ETFs: the Silvia Anti-Money Printer ETF, the Silvia Best Ideas ETF, the Silvia Bitcoin mNAV Discount ETF, the Silvia Elon ETF and the Silvia Jensen Interview ETF. The Adviser serves as investment adviser to the Silvia ETFs, and the Investment Manager is proposed to serve as investment Sub-Adviser, subject to the supervision and oversight of the Adviser and the board of trustees of the ETF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Silvia ETF may commence operations until, among other things, the registration statement with respect to that fund has become effective, its shares have been approved for listing on a national securities exchange and the Investment Manager’s registration as an investment adviser has become effective, and there can be no assurance that any Silvia ETF will launch when anticipated or at all. We have not earned any sub-advisory fees to date and do not expect the Silvia ETFs to generate meaningful revenue in the near term. As of August 13, 2026, no seed capital had been committed or funded by us or our subsidiaries and costs incurred in connection with the proposed funds were not material. See “Risk Factors—Risks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Silvia ETFs launch, any sub-advisory fees are expected to be calculated as a percentage of the average daily net assets of each Silvia ETF and paid out of the Adviser’s unitary management fee. Those fees would be earned by the Investment Manager, rather than by the parent company directly. Launch, marketing and compliance costs, and any expense obligations we agree to bear, may exceed sub-advisory fee revenue for an extended period or indefinitely. Each Silvia ETF will require seed capital before it may publicly offer its shares. We anticipate that third parties will provide that seed capital, although we or our affiliates may provide seed capital to the Silvia ETFs. In addition, under a license agreement entered into on August 12, 2026, the Investment Manager will pay a royalty calculated as a percentage of the average daily net assets of one proposed Silvia ETF for periods during which the license agreement is in effect and that fund is operational.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or the solicitation of an offer to buy shares of any Silvia ETF. Any offering of shares of a Silvia ETF will be made only by means of a prospectus of that fund.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to use less than 5% of our total Bitcoin holdings, if any, for staking activities. Staked Bitcoin typically remains custodied and subject to an unbonding period of approximately seven days, during which it is not transferable. In connection with any staking activities, we intend to adhere to the following guidelines: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Allocation Limits:</w:t>
            </w:r>
            <w:r>
              <w:rPr>
                <w:rFonts w:ascii="Times New Roman;Times;Serif" w:hAnsi="Times New Roman;Times;Serif"/>
                <w:b w:val="false"/>
                <w:i w:val="false"/>
                <w:caps w:val="false"/>
                <w:smallCaps w:val="false"/>
                <w:sz w:val="20"/>
              </w:rPr>
              <w:t xml:space="preserve"> Silvia will allocate no more than 5% of Silvia’s Bitcoin holdings for use in staking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Custody Protocols: </w:t>
            </w:r>
            <w:r>
              <w:rPr>
                <w:rFonts w:ascii="Times New Roman;Times;Serif" w:hAnsi="Times New Roman;Times;Serif"/>
                <w:b w:val="false"/>
                <w:i w:val="false"/>
                <w:caps w:val="false"/>
                <w:smallCaps w:val="false"/>
                <w:sz w:val="20"/>
              </w:rPr>
              <w:t>All staked Bitcoin will remain with a qualified institutional custodians engaged by Silvia, which currently include Anchorage, BitGo, Coinbase Trust Company, LLC (“</w:t>
            </w:r>
            <w:r>
              <w:rPr>
                <w:rFonts w:ascii="Times New Roman;Times;Serif" w:hAnsi="Times New Roman;Times;Serif"/>
                <w:b w:val="false"/>
                <w:i w:val="false"/>
                <w:caps w:val="false"/>
                <w:smallCaps w:val="false"/>
                <w:sz w:val="20"/>
                <w:u w:val="single"/>
              </w:rPr>
              <w:t>Coinbase</w:t>
            </w:r>
            <w:r>
              <w:rPr>
                <w:rFonts w:ascii="Times New Roman;Times;Serif" w:hAnsi="Times New Roman;Times;Serif"/>
                <w:b w:val="false"/>
                <w:i w:val="false"/>
                <w:caps w:val="false"/>
                <w:smallCaps w:val="false"/>
                <w:sz w:val="20"/>
              </w:rPr>
              <w:t>”) and FalconX (as defined below). The custodian may facilitate access to third-party staking or yield protocols on behalf of Silvia. In the future, we may engage additional or alternative custodians to support these activities, provided that all such custodians meet applicable regulatory and institutional standards. See “- Custody of Silvia’s Bitcoin”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Oversight and Approvals: </w:t>
            </w:r>
            <w:r>
              <w:rPr>
                <w:rFonts w:ascii="Times New Roman;Times;Serif" w:hAnsi="Times New Roman;Times;Serif"/>
                <w:b w:val="false"/>
                <w:i w:val="false"/>
                <w:caps w:val="false"/>
                <w:smallCaps w:val="false"/>
                <w:sz w:val="20"/>
              </w:rPr>
              <w:t>All staking decisions require approval from our Chief Executive Officer, and activity is subject to ongoing monitoring by our senior management team and compliance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Unbonding Period: </w:t>
            </w:r>
            <w:r>
              <w:rPr>
                <w:rFonts w:ascii="Times New Roman;Times;Serif" w:hAnsi="Times New Roman;Times;Serif"/>
                <w:b w:val="false"/>
                <w:i w:val="false"/>
                <w:caps w:val="false"/>
                <w:smallCaps w:val="false"/>
                <w:sz w:val="20"/>
              </w:rPr>
              <w:t>We will not exceed an unbonding period of approximately 7 days  without approval from our Chief Executive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Risk Controls: </w:t>
            </w:r>
            <w:r>
              <w:rPr>
                <w:rFonts w:ascii="Times New Roman;Times;Serif" w:hAnsi="Times New Roman;Times;Serif"/>
                <w:b w:val="false"/>
                <w:i w:val="false"/>
                <w:caps w:val="false"/>
                <w:smallCaps w:val="false"/>
                <w:sz w:val="20"/>
              </w:rPr>
              <w:t>We will monitor potential risks associated with staking, including liquidity constraints and counterparty exposure. Further, we and our audit committee will periodically review participation in connection with our general risk management protocols.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Bitcoin does not use a PoS consensus mechanism and cannot be staked natively, emerging protocols such as Babylon, enable Bitcoin holders to lock Bitcoin as economic security on PoS chains. These mechanisms do not involve validating transactions on the Bitcoin blockchain but enables Bitcoin to serve as collateral for security in other blockchain ecosystems. In return, participants may receive rewards, if any, distributed by the PoS protocol and not by the Bitcoin network.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evaluating or using our partners’ staking platforms or services, including those involving Bitcoin staking via external protocols, we may receive fixed advertising fees and, where applicable, a portion of any staking rewards generated by our participation.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Silvia’s Bitcoin treasury strategy is grounded in the belief that Bitcoin represents an attractive store of value, characterized by its fixed supply, verifiable scarcity, and global liquidity. Silvia has adopted a Treasury Reserve Policy that establishes Bitcoin as the primary treasury reserve asset, while maintaining sufficient cash and cash equivalents to meet working capital, operational, and contractual requirements. The key elements of Silvia’s Bitcoin strategy include:</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Opportunistic Purchases:</w:t>
            </w:r>
            <w:r>
              <w:rPr>
                <w:rFonts w:ascii="Times New Roman;Times;Serif" w:hAnsi="Times New Roman;Times;Serif"/>
                <w:b w:val="false"/>
                <w:i w:val="false"/>
                <w:caps w:val="false"/>
                <w:smallCaps w:val="false"/>
                <w:sz w:val="20"/>
              </w:rPr>
              <w:t xml:space="preserve"> Silvia will monitor macroeconomic indicators, market valuation metrics (including, but not limited to, Market Value to Realized Value (“</w:t>
            </w:r>
            <w:r>
              <w:rPr>
                <w:rFonts w:ascii="Times New Roman;Times;Serif" w:hAnsi="Times New Roman;Times;Serif"/>
                <w:b w:val="false"/>
                <w:i w:val="false"/>
                <w:caps w:val="false"/>
                <w:smallCaps w:val="false"/>
                <w:sz w:val="20"/>
                <w:u w:val="single"/>
              </w:rPr>
              <w:t>MVRV</w:t>
            </w:r>
            <w:r>
              <w:rPr>
                <w:rFonts w:ascii="Times New Roman;Times;Serif" w:hAnsi="Times New Roman;Times;Serif"/>
                <w:b w:val="false"/>
                <w:i w:val="false"/>
                <w:caps w:val="false"/>
                <w:smallCaps w:val="false"/>
                <w:sz w:val="20"/>
              </w:rPr>
              <w:t>”) ratio, relative strength index, and on-chain analytics), and industry sentiment to identify periods of market dislocation or undervaluation. During such periods, Silvia may accelerate Bitcoin accumulation through discretionary purchases. We will retain sufficient cash and cash equivalents for operating needs and obligations. Our Bitcoin holdings are not intended to replace working capital reserves.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Raising:</w:t>
            </w:r>
            <w:r>
              <w:rPr>
                <w:rFonts w:ascii="Times New Roman;Times;Serif" w:hAnsi="Times New Roman;Times;Serif"/>
                <w:b w:val="false"/>
                <w:i w:val="false"/>
                <w:caps w:val="false"/>
                <w:smallCaps w:val="false"/>
                <w:sz w:val="20"/>
              </w:rPr>
              <w:t xml:space="preserve"> Silvia may periodically access capital markets through the issuance of equity, debt, or convertible instruments, with the objective of deploying proceeds into additional Bitcoin acquisitions. Silvia may also utilize innovative financing strategies, such as Bitcoin-collateralized debt instruments, to enhance its ability to accumulate Bitcoin in a manner that is accretive to shareholders on a per-share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Reserve Assets:</w:t>
            </w:r>
            <w:r>
              <w:rPr>
                <w:rFonts w:ascii="Times New Roman;Times;Serif" w:hAnsi="Times New Roman;Times;Serif"/>
                <w:b w:val="false"/>
                <w:i w:val="false"/>
                <w:caps w:val="false"/>
                <w:smallCaps w:val="false"/>
                <w:sz w:val="20"/>
              </w:rPr>
              <w:t xml:space="preserve"> Silvia views its Bitcoin holdings as a strategic treasury  reserve asset. Silvia may   accumulate additional Bitcoin as market conditions and capital availability permit. We may periodically  sell Bitcoin  to meet critical liquidity needs, to fund investments or seed capital in our asset management business to address adverse regulatory changes, to purchase our Common Stock when conditions are advantageous, for tax purposes, or in the event of a fundamental change in Silvia’s strategic outlook.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Governance and Risk Management:</w:t>
            </w:r>
            <w:r>
              <w:rPr>
                <w:rFonts w:ascii="Times New Roman;Times;Serif" w:hAnsi="Times New Roman;Times;Serif"/>
                <w:b w:val="false"/>
                <w:i w:val="false"/>
                <w:caps w:val="false"/>
                <w:smallCaps w:val="false"/>
                <w:sz w:val="20"/>
              </w:rPr>
              <w:t xml:space="preserve"> The Board has broad discretion over the investment, leverage and cash management policies it authorizes, whether in respect of Silvia’s Bitcoin holdings or other activities it may pursue, and has the power to change our current policies, including our strategy of acquiring and holding Bitcoin. All Bitcoin acquisition and treasury management activities are overseen by our senior management team and the Board, in consultation with external advisors with expertise in Bitcoin and corporate finance. Silvia will maintain internal controls, risk limits, and compliance protocols to ensure prudent execution of its Bitcoin strategy.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various investment strategies such as put and call option contracts as part of a broader Bitcoin treasury and yield generating strategy to manage exposure to fluctuations in the market price of Bitcoin or for trading purposes. Put options provide the right to sell Bitcoin at a specified strike price on or before a stated maturity date, or the obligation to buy Bitcoin at the strike price if the put option is written. Call options provide the right to buy Bitcoin at a specified strike price on or before a stated maturity date, or the obligation to sell Bitcoin at the strike price if the call option is written. The contracts may be exchange-traded or over-the-counter and may be cash-settled or physically settled. While these strategies may result in Bitcoin being sold if options are exercised, such dispositions are an expected feature of the strategy rather than discretionary sales. During the three months ended March 31, 2026, we sold Bitcoin put option contracts with an aggregate notional amount of up to 900 Bitcoin, with contractual strike prices ranging from $70,000 to $80,000 per Bitcoin and expiration dates in February and March 2026, and we received aggregate option premiums of approximately $0.9 million. As of June 30, 2026, we had no outstanding Bitcoin put option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have policies in place to address air drops, incidental rights and hard forks, we plan to discuss with the Board the potential need for such policies in the future. Our audit committee and the Board will monitor the need for such policies as part of their risk management oversight.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our Bitcoin purchases, we purchase Bitcoin through third-party trading platforms and certain brokers. We have entered into several customary purchase and sale agreements with various counterparties, pursuant to which the counterparties execute our Bitcoin transactions. In the ordinary course of our business, we may enter into additional similar, customary agreements with other third-party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and Risk Management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reduce the volatility inherent in our Bitcoin holdings and better manage capital efficiency, we may implement selective hedging strategies. These include:</w:t>
      </w:r>
    </w:p>
    <w:p>
      <w:pPr>
        <w:pStyle w:val="TextBody"/>
        <w:bidi w:val="0"/>
        <w:spacing w:before="0" w:after="0"/>
        <w:ind w:left="0" w:right="0" w:firstLine="48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exchange-listed Bitcoin derivatives, such as CME Bitcoin futures and options;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305" w:type="dxa"/>
        <w:jc w:val="left"/>
        <w:tblInd w:w="0" w:type="dxa"/>
        <w:tblLayout w:type="fixed"/>
        <w:tblCellMar>
          <w:top w:w="0" w:type="dxa"/>
          <w:left w:w="0" w:type="dxa"/>
          <w:bottom w:w="0" w:type="dxa"/>
          <w:right w:w="0" w:type="dxa"/>
        </w:tblCellMar>
      </w:tblPr>
      <w:tblGrid>
        <w:gridCol w:w="75"/>
        <w:gridCol w:w="170"/>
        <w:gridCol w:w="8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options, covered call or collar strategies to limit downside risk or monetize price volatility;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counterparty arrangements for risk reduction in liquidity or event-driven scenarios.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engage in speculative trading or market-making activities. All derivatives transactions are for bona fide risk management, not for speculative gain. Any hedging transactions would be conducted solely for our own account and in compliance with the CEA, applicable exchange rules, SEC regulations, and relevant internal risk and hedging policies. See “- Government Regulation” below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AI Industry 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technology refers to computer systems that perform tasks that have historically required human analysis or judgment. Recent advances have been driven by machine learning, in which models are trained on large datasets to identify patterns, and by generative AI, in which large language models produce text, code and other outputs in response to instructions expressed in ordinary language. More recently, providers have begun to deploy agentic systems, which combine models with software tools, data connections and workflow logic so that a system can carry out multi-step tasks with limited human direction. In financial services, these technologies are being applied to research and analysis, document and data processing, portfolio monitoring, financial planning, customer engagement and other investor-facing functions. The outputs of these AI systems are probabilistic in nature and may contain errors, biases, or inconsistencies that are not apparent to users, and the ability to explain how an AI system produced a particular output remains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adoption of AI in financial services is being driven by several characteristics of the industry. Financial workflows are data-rich and repetitive, which makes them suited to automation; much of the analysis historically performed by investment professionals is labor-intensive and costly to deliver at scale; and financial information is increasingly available in machine-readable form through account aggregation, market data feeds and public disclosure systems. At the same time, individual investors increasingly hold assets across multiple account types and asset classes, including public securities, private investments, real estate and digital assets, and many do not have access to analysis that accounts for their full financial position. Providers are seeking to use AI to deliver personalized and continuously updated analysis at a cost that permits broader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industry is generally organized in layers. Semiconductor manufacturers and cloud providers supply the specialized processors and data center capacity used to train and operate models. A comparatively small number of model developers, including companies such as OpenAI, Anthropic, Google, and Meta, train and license foundation models, which are general-purpose models that other companies adapt for particular uses. Application providers build products on those models, typically combining them with their own software, product design, workflow logic and access to data. Data providers, account aggregation services and market data vendors supply the inputs on which model outputs depend, and human review and oversight remain necessary where outputs are used in consequential contexts. Participants at the application layer, including us, generally depend on third parties for foundation models, computing capacity and data, and the availability, performance, pricing and terms of those inputs are largely outside their control. Our reliance on third-party foundation models means that changes in model capabilities, API availability, pricing, or licensing terms could materially affect our ability to operate or improve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AI-enabled financial products is intense, and the industry is characterized by rapid innovation and short product cycles. Participants compete on the quality and accuracy of model outputs, the breadth and reliability of data and integrations, product design, speed of development, brand and distribution, and price. Because current models are probabilistic, accuracy, reliability and the ability to explain how a result was produced are important to adoption, particularly where a user may rely on an output in making a financial decision. Other significant constraints include the cost and availability of computing capacity, competition for technical personnel, data privacy, data rights and cybersecurity requirements, unsettled questions of intellectual property law concerning the training of models and the use of model outputs, potential liability exposure for AI-generated content that infringes third-party rights or harms users, and the expectations of financial and consumer protection regulators. See “- Government Regulation” below and “Risk Factors—Risks Related to Our Business and AI-Strategy.”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operations are conducted at the application layer of this industry. In April 2026, we launched Silvia Insights, an AI-based research platform intended to deliver research to independent investors, and we completed our acquisition of CFO Silvia, whose platform connects to a user’s financial accounts and applies AI-driven analytical tools to provide portfolio tracking, concentration analysis, fee analysis, scenario modeling and informational financial summaries through a conversational interface. Neither product is intended to provide personalized investment advice. Our AI-powered products and strategy are at an early stage of development, and we have not yet generated material revenue from AI-powered products or services. See “- AI Products and Strategy”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Bitcoin Industry 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Introduced in 2008 and launched in 2009, Bitcoin is a decentralized digital currency operating on a peer-to-peer network and is built on free and open-source technology, which is designed to facilitate secure and transparent transactions. This network hosts a public transaction ledger, known as the Bitcoin blockchain, on which all validated transactions that have ever taken place on the Bitcoin network are recorded. One or more “private keys” are stored in individual “wallet” functions, which are used to sign transactions and control the transfer of Bitcoin. The Bitcoin blockchain is maintained by a decentralized network of participants (i.e., miners, nodes, and developers), none of whom has unilateral control. As a result, the Bitcoin network can be updated without any single entity owning or operating the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Bitcoin market has grown substantially over the past five years, with its total market capitalization of approximately $1.7 trillion as of October 6, 2026. This expansion underscores Bitcoin’s emergence as a globally recognized store of value and a foundational asset within the digital asset ecosystem.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price rose from approximately over $9,000 in July 2020 to over $120,000 by July 2025, reflecting long-term adoption and increasing institutional participation. After a decline during COVID in early 2020, Bitcoin rebounded strongly and ended that year near $29,000. In 2021, it surged past $60,000 before briefly correcting below $30,000 mid-year.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2022 and 2023, Bitcoin remained at prices significantly below its all-time high. Momentum returned in 2024, driven by ETF inflows and institutional accumulation, pushing prices to over $60,000. In 2025, Bitcoin reached new all-time highs over $120,000, bolstered by favorable regulatory developments and renewed investor confidence.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five-year trajectory highlights the asset’s resilience, sustained growth, institutional validation, and increasing relevance as a long-term investment asset.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Bitcoin is often described as a potential store of value, it has historically exhibited strong volatility. The price of Bitcoin has fluctuated dramatically over short periods of time, and it is not uncommon for Bitcoin to experience double-digit percentage changes within a single day. For example, Bitcoin traded at approximately $16,000 in January 2023 and has since increased to an average of $83,556 as of September 30, 2026, reflecting significant appreciation during this period. At the same time, Bitcoin has also experienced material drawdowns, including a decline of about 77% from November 2021 to November 2022. This volatility is influenced by factors including speculative trading, limited liquidity, concentration of ownership, evolving regulation, technological developments, and shifts in market sentiment. See the risk factors entitled “</w:t>
            </w:r>
            <w:r>
              <w:rPr>
                <w:rFonts w:ascii="Times New Roman;Times;Serif" w:hAnsi="Times New Roman;Times;Serif"/>
                <w:b w:val="false"/>
                <w:i/>
                <w:caps w:val="false"/>
                <w:smallCaps w:val="false"/>
                <w:sz w:val="20"/>
              </w:rPr>
              <w:t>Our principal asset is Bitcoin. The concentration of our Bitcoin holdings enhances the risks inherent in our Bitcoin strategy” and “Bitcoin is a highly volatile asset, and our operating results and market price may significantly fluctuate, including due to the highly volatile nature of the price of Bitcoin and erratic market movements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industry is dynamic and rapidly evolving, offering substantial opportunities alongside significant risks. We will continue to monitor technological, regulatory, and market developments to navigate this complex landscape effectively.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Creation of New Bitcoin and Limits on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protocol limits the total number of Bitcoins that can be generated over time to 21 million. As of February 12, 2026, approximately 20 million Bitcoin have been generated, further highlighting the asset’s scarcity and long-term value proposition. Based on current estimates, we expect that the 21 millionth Bitcoin will be mined around the year 2140. New Bitcoin are created and allocated by the Bitcoin protocol through a “mining” process that rewards users that validate transactions in the Bitcoin blockchain. Validated transactions are added in “blocks” approximately every 10 minutes. The mining process serves to validate transactions and secure the Bitcoin network. Mining is a competitive and costly operation that requires a large amount of computational power to perform repeated hash functions in search of a valid solution under Bitcoin’s “proof-of-work” protocol.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incentivize miners to incur the costs of mining Bitcoin, the Bitcoin protocol rewards miners that successfully validate a block of transactions with newly generated Bitcoin. The current reward for miners that successfully validate a block of transactions is 3.125 Bitcoin per mined block. The mining reward is reduced by half, which is referred to as a Bitcoin halving, after every 210,000 blocks are mined. This halving has historically occurred approximately every four years. The most recent Bitcoin halving occurred in 2024, and the next Bitcoin halving is expected to occur sometime in 2028, although the exact date is uncertain and depends on block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Modifications to the Bitcoin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operates as a decentralized, open-source network that has no central authority, so no one person can unilaterally make changes to the software that runs the network. Bitcoin Core, a widely used Bitcoin software implementation, is maintained by a community of open-source contributors that propose changes to the source code and release periodic updates and other changes. Unlike most software that has a central entity that can push updates to users, Bitcoin network is a peer-to-peer network in which individual network participants, called nodes, decide whether to upgrade the software and accept the new changes. As a practical matter, a proposed change becomes part of the Bitcoin protocol only if a majority of network participants, including miners and nodes, choose to adopt and enforce it through the software they run on the Bitcoin network. For some changes, such as soft forks, activation may involve miners signaling support with their hash power, but enforcement of the rules is determined by node operators. If a certain percentage of the nodes reject the changes, particularly in the case of a hard fork, a chain split can occur, resulting in separate versions of the blockchain based on the software each participant chooses to run. A soft fork is a backward-compatible change to the Bitcoin protocol that tightens or adds new consensus rules. Nodes that have not been upgraded will still accept blocks as valid if those blocks comply with both old and new rules. However, non-upgraded nodes may be unaware of the new restrictions and cannot enforce them. A hard fork, by contrast, is a non-backward-compatible change that alters consensus rules such that nodes running older versions cannot validate blocks created under the new rules. If consensus is not reached, hard forks can result in a split into two separate blockchains.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Forms of Attack Against the Bitcoin Network and Wallets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technology has certain built-in security features that make it difficult for hackers and other malicious actors to alter confirmed transaction records or tamper with the blockchain’s historical ledger. However, as with any computer network, the Bitcoin network may still be subject to certain attacks. Some forms of attack include direct attacks, like “denial-of-service attacks” or “51% attacks” on the Bitcoin network, as well as individual-level security breaches, such as unauthorized access to digital wallets.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the private key(s) associated with the public address to which the Bitcoin is assigned. Private keys are typically generated and stored by individual users or custodians and may be secured in hardware wallets, software wallets, or custodial storage solutions. One form of obtaining unauthorized access to a wallet occurs following a “phishing attack” where the attacker deceives the victim and manipulates them into sharing their private keys or other sensitive information. Loss of private keys generally results in permanent loss of access to the associated Bitcoin.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“denial-of-service attack” occurs when legitimate users are unable to access information systems, devices, or other network resources due to the actions of a malicious actor flooding the network with traffic until the network is unable to respond or crashes. The Bitcoin network has been, and can be in the future, subject to denial-of-service attacks, which can increase transaction fees or delay transaction confirmations, but typically do not result in delays in block creation. A “51% attack” may occur when a group of miners attain more than 50% of the Bitcoin network’s mining power, enabling them to temporarily reorganize the blockchain, censor transactions, or perform double-spend attacks. However, such an attack does not permit altering Bitcoin’s fundamental protocol rules or total supply. As of the date of this prospectus, we are not aware of any successful “51% attack” on the Bitcoin network. We believe, due to Bitcoin’s globally distributed hash rate, the prohibitively high cost of mounting such an attack, and the existence of community and network-level responses serve as additional deterrents even if an attack is attempted.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for more information on the related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Industry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Bitcoin industry participants are miners, node operators, investors and traders, digital asset exchanges and service providers, including custodians, brokers, payment processors, wallet providers and financial institutions. Developers and infrastructure providers (e.g., Lightning Network operators) also play a key role in Bitcoin’s ecosystem, though they may not be primary participants in trading or mining.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Miners. </w:t>
      </w:r>
      <w:r>
        <w:rPr>
          <w:rFonts w:ascii="Times New Roman;Times;Serif" w:hAnsi="Times New Roman;Times;Serif"/>
          <w:b w:val="false"/>
          <w:i w:val="false"/>
          <w:caps w:val="false"/>
          <w:smallCaps w:val="false"/>
          <w:sz w:val="20"/>
        </w:rPr>
        <w:t>Miners range from Bitcoin enthusiasts to professional mining operations that design and build dedicated mining machines and data centers, including mining pools, which are groups of miners that act cohesively and combine their processing power to mine Bitcoin blocks. See “- Creation of New Bitcoin and Limits on Supply”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Node operators. </w:t>
      </w:r>
      <w:r>
        <w:rPr>
          <w:rFonts w:ascii="Times New Roman;Times;Serif" w:hAnsi="Times New Roman;Times;Serif"/>
          <w:b w:val="false"/>
          <w:i w:val="false"/>
          <w:caps w:val="false"/>
          <w:smallCaps w:val="false"/>
          <w:sz w:val="20"/>
        </w:rPr>
        <w:t>Node operators validate transactions and blocks according to the consensus rules coded in their software along with propagating transaction information throughout the peer-to-peer network. These operators can range from individuals to large-scale commercial operators.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Investors and Traders. </w:t>
      </w:r>
      <w:r>
        <w:rPr>
          <w:rFonts w:ascii="Times New Roman;Times;Serif" w:hAnsi="Times New Roman;Times;Serif"/>
          <w:b w:val="false"/>
          <w:i w:val="false"/>
          <w:caps w:val="false"/>
          <w:smallCaps w:val="false"/>
          <w:sz w:val="20"/>
        </w:rPr>
        <w:t>Bitcoin investors and traders include individuals and institutional investors who, directly or indirectly, purchase, hold, and sell Bitcoin or Bitcoin-based derivatives. On January 10, 2024, the SEC issued an order approving several applications for the listing and trading of shares of spot Bitcoin exchange-traded products (“</w:t>
      </w:r>
      <w:r>
        <w:rPr>
          <w:rFonts w:ascii="Times New Roman;Times;Serif" w:hAnsi="Times New Roman;Times;Serif"/>
          <w:b w:val="false"/>
          <w:i w:val="false"/>
          <w:caps w:val="false"/>
          <w:smallCaps w:val="false"/>
          <w:sz w:val="20"/>
          <w:u w:val="single"/>
        </w:rPr>
        <w:t>ETPs</w:t>
      </w:r>
      <w:r>
        <w:rPr>
          <w:rFonts w:ascii="Times New Roman;Times;Serif" w:hAnsi="Times New Roman;Times;Serif"/>
          <w:b w:val="false"/>
          <w:i w:val="false"/>
          <w:caps w:val="false"/>
          <w:smallCaps w:val="false"/>
          <w:sz w:val="20"/>
        </w:rPr>
        <w:t>”) on U.S. national securities exchanges. While the SEC had previously approved exchange-traded funds where the underlying assets were Bitcoin futures contracts, this order represented the first time the SEC approved the listing and trading of ETPs that acquire, hold and sell Bitcoin directly. ETPs can be bought and sold on a stock exchange like traditional stocks, and provide investors with another means of gaining economic exposure to Bitcoin through traditional brokerage accounts. We anticipate that the approval of spot Bitcoin ETPs will improve market liquidity and broaden investor access to the Bitcoin ecosystem, which we expect to lead to greater adoption of Bitcoin and long term price stability.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Digital Asset Exchanges. </w:t>
      </w:r>
      <w:r>
        <w:rPr>
          <w:rFonts w:ascii="Times New Roman;Times;Serif" w:hAnsi="Times New Roman;Times;Serif"/>
          <w:b w:val="false"/>
          <w:i w:val="false"/>
          <w:caps w:val="false"/>
          <w:smallCaps w:val="false"/>
          <w:sz w:val="20"/>
        </w:rPr>
        <w:t>Digital asset exchanges provide trading venues for purchases and sales of Bitcoin in exchange for fiat or other digital assets. Bitcoin can be exchanged for fiat currencies, such as the U.S. dollar, at rates of exchange determined by market forces on Bitcoin trading platforms, which are typically regulated as money service businesses and not regulated in the same manner as traditional securities exchanges. In addition to these platforms, over-the-counter markets and derivatives markets for Bitcoin also exist. The value of Bitcoin within the market is determined, in part, by the supply of and demand for Bitcoin in the global Bitcoin market, market expectations for the adoption of Bitcoin as a store of value, the number of merchants that accept Bitcoin as a form of payment, the volume of peer-to-peer transactions, macroeconomic conditions, and regulatory developments, among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Service providers. </w:t>
      </w:r>
      <w:r>
        <w:rPr>
          <w:rFonts w:ascii="Times New Roman;Times;Serif" w:hAnsi="Times New Roman;Times;Serif"/>
          <w:b w:val="false"/>
          <w:i w:val="false"/>
          <w:caps w:val="false"/>
          <w:smallCaps w:val="false"/>
          <w:sz w:val="20"/>
        </w:rPr>
        <w:t>Service providers offer a multitude of services to other participants in the Bitcoin industry, including custodial and trade execution services, commercial and retail payment processing, loans secured by Bitcoin collateral, and financial advisory services. If adoption of the Bitcoin network continues to materially increase, we anticipate that service providers may expand the currently available range of services and that additional parties will enter the service sector for the Bitcoin network.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Bitcoin was the largest digital asset by market capitalization. However, numerous alternative digital assets exist, which are often referred to as “altcoins,” and many entities, including consortia and financial institutions, are actively researching and investing resources in blockchain platforms and digital assets that utilize consensus mechanisms other than proof-of-work mining, which is employed by the Bitcoin network. For example, in late 2022 the Ethereum network completed “The Merge,” transitioning from proof-of-work (“</w:t>
      </w:r>
      <w:r>
        <w:rPr>
          <w:rFonts w:ascii="Times New Roman;Times;Serif" w:hAnsi="Times New Roman;Times;Serif"/>
          <w:b w:val="false"/>
          <w:i w:val="false"/>
          <w:caps w:val="false"/>
          <w:smallCaps w:val="false"/>
          <w:sz w:val="20"/>
          <w:u w:val="single"/>
        </w:rPr>
        <w:t>PoW</w:t>
      </w:r>
      <w:r>
        <w:rPr>
          <w:rFonts w:ascii="Times New Roman;Times;Serif" w:hAnsi="Times New Roman;Times;Serif"/>
          <w:b w:val="false"/>
          <w:i w:val="false"/>
          <w:caps w:val="false"/>
          <w:smallCaps w:val="false"/>
          <w:sz w:val="20"/>
        </w:rPr>
        <w:t>”) to a PoS mechanism. Under PoW, miners expend computing power and energy to solve cryptographic puzzles. The first to solve a valid block earns the right to add it to the blockchain and receive newly minted tokens and transaction fees as a reward. By contrast, under PoS, validators pseudo-randomly are selected to propose and attest to blocks based on the amount of network tokens they have locked (or “staked”) as collateral. If validators act dishonestly or violate protocol rules, their “staked” tokens may be subject to “slashing,” resulting in partial or complete forfeiture. Because PoS does not require energy-intensive mining competition, it generally operates with materially lower energy consumption than PoW. Some alternative digital assets, such as stablecoins, are designed to maintain a constant price because of their issuers’ promise to hold high-quality liquid assets (such as U.S. dollar deposits and short-term U.S. treasury securities) equal to the total value of stablecoins in circulation. Stablecoins have grown rapidly, particularly as a medium of exchange and store of value, particularly on digital asset trading platforms where they are often used as trading pairs or to facilitate transactions without converting to fiat currency. Additionally, central banks in some countries have started to introduce digital forms of legal tender known as central bank digital currencies (“</w:t>
      </w:r>
      <w:r>
        <w:rPr>
          <w:rFonts w:ascii="Times New Roman;Times;Serif" w:hAnsi="Times New Roman;Times;Serif"/>
          <w:b w:val="false"/>
          <w:i w:val="false"/>
          <w:caps w:val="false"/>
          <w:smallCaps w:val="false"/>
          <w:sz w:val="20"/>
          <w:u w:val="single"/>
        </w:rPr>
        <w:t>CBDCs</w:t>
      </w:r>
      <w:r>
        <w:rPr>
          <w:rFonts w:ascii="Times New Roman;Times;Serif" w:hAnsi="Times New Roman;Times;Serif"/>
          <w:b w:val="false"/>
          <w:i w:val="false"/>
          <w:caps w:val="false"/>
          <w:smallCaps w:val="false"/>
          <w:sz w:val="20"/>
        </w:rPr>
        <w:t>”), which are digital forms of legal tender issued and controlled by sovereign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the market for AI-enabled financial products and services. In financial research, consumer finance, portfolio analysis, financial planning and investor decision support, we compete with established financial data, research and analytics providers, financial planning and account aggregation software companies, brokerage firms and other financial institutions that make analytical tools available to their customers, consumer-facing financial technology applications, general-purpose AI platforms whose products may be used for financial analysis, and new entrants. Many of these competitors have longer operating histories, substantially greater financial, technical and personnel resources, more established distribution and larger user bases than we do, and general-purpose AI platforms may extend their offerings to include functionality that competes directly with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asset management business, we compete for investment opportunities, capital commitments and personnel with established asset managers and other sponsors of private funds and SPVs and, if the Silvia ETFs commence operations, with exchange-traded fund sponsors and other investment products. Competition is affected by investment performance and track record, fees, distribution and the scale and reputation of the sponsor. As of June 30, 2026, neither the Initial Fund nor the Investment Manager had established an investment record. We and the Investment Manager have a limited operating history managing private funds and SPVs, and the Silvia ETFs remain proposed. We are not the issuer of, and do not offer, shares of any Silvia ETF.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generally involves, from time to time, subject to market conditions, (i) issuing debt or equity securities or engaging in other capital raising transactions with the objective of using the proceeds to purchase Bitcoin and (ii) acquiring Bitcoin with our liquid assets that exceed working capital requirements. When we engage in such capital raising transactions, we compete for capital with, among others, the Bitcoin network, ETPs, Bitcoin miners, digital assets exchanges, other digital assets service providers, other private and, increasingly, publicly traded companies that hold Bitcoin or other digital assets as treasury reserve assets, private funds that invest in Bitcoin and other digital assets, and similar vehicles. An increase in the competition for sources of capital could adversely affect the availability and cost of financing for our Bitcoin purchases, and thereby could adversely affect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ETFs are designed solely to track the price of Bitcoin and provide passive exposure through a regulated fund structure. In contrast, Silvia directly acquires and holds Bitcoin as its primary treasury reserve asset. The Treasury Reserve Policy prioritizes the accumulation of Bitcoin using excess cash assets and proceeds from capital raising transactions, with a long-term view toward holding and growing its Bitcoin reserves. This direct ownership model ensures that shareholders have transparent, verifiable exposure to Bitcoin’s price appreciation, while also allowing Silvia to leverage its Bitcoin holdings for strategic and operational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Silvia’s differentiated model - combining direct Bitcoin holdings with an AI consumer finance platform offers investors a multifaceted exposure to the Bitcoin ecosystem that is not available through traditional investment vehicles. We believe that our disciplined capital allocation, robust governance, and thought leadership position us to become a leading choice for investors seeking exposure to Bitcoin and the broader digital asset economy.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each of our businesses, we expect to compete principally on the basis of product quality and accuracy, the breadth and reliability of our data and integrations, technology and personnel, brand and distribution, investment performance, fees, scale, regulatory and compliance capability, relationships with service providers and speed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AI Platform, Data Infrastructure and Account Integrations. </w:t>
      </w:r>
      <w:r>
        <w:rPr>
          <w:rFonts w:ascii="Times New Roman;Times;Serif" w:hAnsi="Times New Roman;Times;Serif"/>
          <w:b w:val="false"/>
          <w:i w:val="false"/>
          <w:caps w:val="false"/>
          <w:smallCaps w:val="false"/>
          <w:sz w:val="20"/>
        </w:rPr>
        <w:t>Through our acquisition of CFO Silvia, we own a consumer-facing AI platform, together with the software, data infrastructure and related intellectual property underlying it, that connects to a range of financial account integrations, including brokerage accounts, retirement accounts, cryptocurrency wallets, real estate valuation services and alternative investment platforms, and that applies AI-driven analytical tools to the resulting information. We believe that the breadth of these integrations, and the consolidated view of a user’s holdings and liabilities that they support, provide a foundation on which we can develop additional investor-focused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 Product Development Capability</w:t>
      </w:r>
      <w:r>
        <w:rPr>
          <w:rFonts w:ascii="Times New Roman;Times;Serif" w:hAnsi="Times New Roman;Times;Serif"/>
          <w:b w:val="false"/>
          <w:i w:val="false"/>
          <w:caps w:val="false"/>
          <w:smallCaps w:val="false"/>
          <w:sz w:val="20"/>
        </w:rPr>
        <w:t>. In connection with our acquisition of CFO Silvia, we added a development team, led by Shain Noor in his capacity as our Chief Technology Officer, focused on the application of AI to financial use cases. We are using that capability to develop investor-focused AI products across multiple interfaces and use cases, including Silvia Insights, our AI-based research platform for independent investors, and the conversational interfaces through which the CFO Silvia platform is accessible by chat, email and voice. Our AI-powered products are at an early stage of development and have not yet generated material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Developing Advisory Business Supported by Our Technology, Audience, Distribution and Capital Markets Experience</w:t>
      </w:r>
      <w:r>
        <w:rPr>
          <w:rFonts w:ascii="Times New Roman;Times;Serif" w:hAnsi="Times New Roman;Times;Serif"/>
          <w:b w:val="false"/>
          <w:i w:val="false"/>
          <w:caps w:val="false"/>
          <w:smallCaps w:val="false"/>
          <w:sz w:val="20"/>
        </w:rPr>
        <w:t>. We are developing our investment advisory business through the Investment Manager, which serves as investment adviser to the Initial Fund and the SPV Fund and is proposed to serve as Sub-Adviser to the Silvia ETFs. We believe that business is complemented by our technology capabilities, our existing audience and brand, our distribution channels and our experience in the capital markets. Our content and social media channels give us a direct means of introducing new products to independent investors, and user engagement with those products may in turn inform our product development. We are also developing AI-powered products that are intended to serve groups of investors that overlap with those our asset management business may serve. These activities are at different stages: the Investment Manager’s registration as an investment adviser has not yet become effective, the Initial Fund had not commenced significant operations as of June 30, 2026, the SPV Fund was launched on August 26, 2026, the Silvia ETFs remain proposed and may not commence operations, and our AI-powered products are at an early stage of development. As of June 30, 2026, the Investment Manager had not established an investment record, and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Large, Engaged, and Cross-Platform Audience. </w:t>
      </w:r>
      <w:r>
        <w:rPr>
          <w:rFonts w:ascii="Times New Roman;Times;Serif" w:hAnsi="Times New Roman;Times;Serif"/>
          <w:b w:val="false"/>
          <w:i w:val="false"/>
          <w:caps w:val="false"/>
          <w:smallCaps w:val="false"/>
          <w:sz w:val="20"/>
        </w:rPr>
        <w:t>Silvia’s Chief Executive Officer, Anthony Pompliano, has cultivated a substantial and engaged global audience through his daily newsletter (The Pomp Letter), podcast (The Pomp Podcast), and social media platforms, including X (formerly Twitter), YouTube, Instagram, Facebook, and LinkedIn. As of the date of this prospectus, Mr. Pompliano’s cumulative following across these platforms exceeds 2.5 million, reflecting high levels of user engagement and trust. This broad reach allows for effective dissemination of digital asset content and timely updates on Bitcoin and macroeconomic trends.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Recognized Authority in the Bitcoin and Cryptocurrency-Related Financial Markets Space. </w:t>
      </w:r>
      <w:r>
        <w:rPr>
          <w:rFonts w:ascii="Times New Roman;Times;Serif" w:hAnsi="Times New Roman;Times;Serif"/>
          <w:b w:val="false"/>
          <w:i w:val="false"/>
          <w:caps w:val="false"/>
          <w:smallCaps w:val="false"/>
          <w:sz w:val="20"/>
        </w:rPr>
        <w:t>Mr. Pompliano has become a leading voice in the cryptocurrency and related financial markets community through years of public advocacy, consistent content production, and appearances on major financial media outlets, including CNBC, Bloomberg, and Fox Business. Mr. Pompliano is widely regarded as a well-known educator and early adopter of Bitcoin, often sought for his views by institutional investors and retail audiences alike.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Proven Content and Distribution Strategy. </w:t>
      </w:r>
      <w:r>
        <w:rPr>
          <w:rFonts w:ascii="Times New Roman;Times;Serif" w:hAnsi="Times New Roman;Times;Serif"/>
          <w:b w:val="false"/>
          <w:i w:val="false"/>
          <w:caps w:val="false"/>
          <w:smallCaps w:val="false"/>
          <w:sz w:val="20"/>
        </w:rPr>
        <w:t>Through daily content including interviews with prominent investors, policymakers, technologists, and entrepreneurs, Mr. Pompliano consistently provides high-value insights tailored for both novice and experienced investors. Mr. Pompliano’s ability to communicate complex financial and technological concepts in accessible formats has led to strong audience retention and subscriber growth across multiple platforms.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Integrated Media Products. </w:t>
      </w:r>
      <w:r>
        <w:rPr>
          <w:rFonts w:ascii="Times New Roman;Times;Serif" w:hAnsi="Times New Roman;Times;Serif"/>
          <w:b w:val="false"/>
          <w:i w:val="false"/>
          <w:caps w:val="false"/>
          <w:smallCaps w:val="false"/>
          <w:sz w:val="20"/>
        </w:rPr>
        <w:t>The integration of media operations with Silvia’s financial services platform creates a powerful feedback loop - educational content and market commentary attract new participants to the Bitcoin ecosystem, while Silvia’s financial products and services benefit from increased awareness and credibility. By producing accessible, high-quality educational content, Silvia demystifies Bitcoin for both institutional and retail audiences, fostering greater understanding and adoption of Bitcoin as an asset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Relationships and Industry Influence. </w:t>
      </w:r>
      <w:r>
        <w:rPr>
          <w:rFonts w:ascii="Times New Roman;Times;Serif" w:hAnsi="Times New Roman;Times;Serif"/>
          <w:b w:val="false"/>
          <w:i w:val="false"/>
          <w:caps w:val="false"/>
          <w:smallCaps w:val="false"/>
          <w:sz w:val="20"/>
        </w:rPr>
        <w:t>Mr. Pompliano maintains strong relationships with certain leaders in venture capital, blockchain infrastructure, and financial media. These relationships offer strategic value in the form of deal flow, brand partnerships, and access to early-stage innovations in the digital asset sector, which may be leveraged for business development and market positioning.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Brand Recognition and Monetization History</w:t>
      </w:r>
      <w:r>
        <w:rPr>
          <w:rFonts w:ascii="Times New Roman;Times;Serif" w:hAnsi="Times New Roman;Times;Serif"/>
          <w:b w:val="false"/>
          <w:i w:val="false"/>
          <w:caps w:val="false"/>
          <w:smallCaps w:val="false"/>
          <w:sz w:val="20"/>
        </w:rPr>
        <w:t>. The “Pomp” brand is widely recognized in the Bitcoin and fintech community. Mr. Pompliano has demonstrated monetization across multiple channels, including premium subscriptions, advertising, live events, educational courses, and media licensing. Mr. Pompliano’s track record reinforces his value as both a content creator and business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Institutional and Entrepreneurial Experience. </w:t>
      </w:r>
      <w:r>
        <w:rPr>
          <w:rFonts w:ascii="Times New Roman;Times;Serif" w:hAnsi="Times New Roman;Times;Serif"/>
          <w:b w:val="false"/>
          <w:i w:val="false"/>
          <w:caps w:val="false"/>
          <w:smallCaps w:val="false"/>
          <w:sz w:val="20"/>
        </w:rPr>
        <w:t>In addition to his public persona, Mr. Pompliano has experience as a venture capitalist and entrepreneur, having co-founded Morgan Creek Digital and invested in over 300 private companies. Mr. Pompliano’s background in both institutional finance and startup ecosystems provides him with a unique perspective on market dynamics, innovation, and capital allocation within the digital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Advantages and Disadvantages of Holding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believes that Bitcoin is an attractive asset because it can serve as a store of value, supported by a robust and public open-source architecture, that is untethered to sovereign monetary policy. We also believe that, due to its limited supply, Bitcoin may offer the potential to serve as a hedge against inflation in the long-term and, if its adoption increases, the opportunity for appreciation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exists entirely in electronic form, as virtually irreversible public transaction ledger entries on the blockchain, and transactions in Bitcoin are recorded and authenticated not by a central repository, but by a decentralized peer-to-peer network. This decentralization mitigates the risks of certain threats common to centralized computer networks, such as denial-of-service attacks, and reduces the dependency of the Bitcoin network on any single system. The decentralization of user nodes and miners also mitigates the risk of a 51% attack, which would be very costly and difficult to execute with respect to Bitcoin because the Bitcoin network is open source and widely distributed, and transactions on the blockchain require significant computing power to be validated.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the Bitcoin network as a whole is decentralized, the private keys used to access Bitcoin balances are not widely distributed and are susceptible to phishing and other attacks designed to obtain sensitive information or gain access to password-protected systems. Loss of such private keys can result in an inability to access, and effective loss of, the corresponding Bitcoin. Consequently, Bitcoin holdings are susceptible to all of the risks inherent in holding any electronic data, such as power failure, data corruption, security breach, communication failure and user error, among others. These risks, in turn, make Bitcoin substantially more susceptible to theft, destruction, or loss of value from hackers, corruption, viruses and other technology-specific factors as compared to conventional fiat currency or other conventional financial assets. For more information on risks associated with holding Bitcoin, please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Bitcoin network relies on open-source developers to maintain and improve the Bitcoin protocol. Accordingly, Bitcoin may be subject to protocol design changes, governance disputes such as “forked” protocols, competing protocols, and other open source-specific risks that do not affect conventional proprietary software.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Custody of Silvia’s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secures all Bitcoin holdings in custody accounts at top-tier, U.S.-based institutional qualified custodians with demonstrated records of regulatory compliance and information security. Silvia has engaged Anchorage, BitGo, Coinbase and FalconX as qualified custodians of its Bitcoin. As of October 6, 2026, approximately 27% of our Bitcoin was held with Anchorage and approximately 73% of our Bitcoin was held with BitGo.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Silvia’s custody framework includes: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of custody across multiple providers to mitigate counterparty risk;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multi-signature cold storage solutions to enhance security, which store private keys in offline, air-gapped environments that are not connected to the internet, significantly reducing the risk of cyberattacks, unauthorized access, or online breaches;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due diligence and ongoing monitoring of custodians and service providers;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 of contractual protections to ensure Silvia’s property interests in Bitcoin are safeguarded in the event of custodian insolvency or other adverse events.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entered into customary custody services agreements (the “</w:t>
      </w:r>
      <w:r>
        <w:rPr>
          <w:rFonts w:ascii="Times New Roman;Times;Serif" w:hAnsi="Times New Roman;Times;Serif"/>
          <w:b w:val="false"/>
          <w:i w:val="false"/>
          <w:caps w:val="false"/>
          <w:smallCaps w:val="false"/>
          <w:sz w:val="20"/>
          <w:u w:val="single"/>
        </w:rPr>
        <w:t>Custody Agreements</w:t>
      </w:r>
      <w:r>
        <w:rPr>
          <w:rFonts w:ascii="Times New Roman;Times;Serif" w:hAnsi="Times New Roman;Times;Serif"/>
          <w:b w:val="false"/>
          <w:i w:val="false"/>
          <w:caps w:val="false"/>
          <w:smallCaps w:val="false"/>
          <w:sz w:val="20"/>
        </w:rPr>
        <w:t>”) with each of Anchorage, BitGo, Coinbase and FalconX, pursuant to which we engaged those custodians to provide custodial services for our Bitcoin holdings. Under the Custody Agreements, all of our Bitcoin assets held with a custodian are fully segregated on-chain and are not commingled with the assets of that custodian or its other clients. All of our Bitcoin assets are held in cold storage, and Silvia is the only party with access to its Bitcoin held in custody with its custodians. The existence of Silvia’s Bitcoin held in custody pursuant to the Custody Agreements may be verified by third party auditors, subject to Silvia’s consent for the applicable custodian to share account information with such auditors. Our Custody Agreement with Anchorage has a term of eighteen months from June 19, 2025 and automatically renews for one-year terms, unless written notice is provided to the other party thirty days prior to the expiration of that Custody Agreement. The Custody Agreements may be terminated for cause by the non-breaching party upon a material breach which is not cured within thirty days after receipt by the breaching party of written notice from the non-breaching party of a material breach; however, the Custody Agreements may be terminated immediately under certain circumstances. In the ordinary course of our business, we may enter into other customary custody agreements with other third-party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Anchorage is chartered as a national trust bank and is regulated by the Office of the Comptroller of the Currency (“</w:t>
      </w:r>
      <w:r>
        <w:rPr>
          <w:rFonts w:ascii="Times New Roman;Times;Serif" w:hAnsi="Times New Roman;Times;Serif"/>
          <w:b w:val="false"/>
          <w:i w:val="false"/>
          <w:caps w:val="false"/>
          <w:smallCaps w:val="false"/>
          <w:sz w:val="20"/>
          <w:u w:val="single"/>
        </w:rPr>
        <w:t>OCC</w:t>
      </w:r>
      <w:r>
        <w:rPr>
          <w:rFonts w:ascii="Times New Roman;Times;Serif" w:hAnsi="Times New Roman;Times;Serif"/>
          <w:b w:val="false"/>
          <w:i w:val="false"/>
          <w:caps w:val="false"/>
          <w:smallCaps w:val="false"/>
          <w:sz w:val="20"/>
        </w:rPr>
        <w:t>”). As a national trust bank, Anchorage is authorized to perform fiduciary custody of digital assets, including Bitcoin, and is subject to ongoing regulatory oversight by the OCC. Anchorage maintains insurance coverage for certain losses of Bitcoin and other digital assets held in its custody. Anchorage holds insurance policies with aggregate policy limits, rather than per-account limits, including coverage for: the loss of property due to theft, robbery, burglary and third-party computer and funds transfer fraud ($100,000,000 policy limit), cyber/technology errors and omissions ($1,000,000 policy limit), general liability ($4,000,000 policy limit, inclusive of umbrella coverage), workers’ compensation (in accordance with minimum state law requirements), employer’s liability ($1,000,000 policy limit) and automobile liability ($4,000,000 policy limit, inclusive of umbrella coverage). However, digital assets held in Anchorage’s custody are not guaranteed by Anchorage and are not subject to the insurance protections of the Federal Deposit Insurance Corporation (“</w:t>
      </w:r>
      <w:r>
        <w:rPr>
          <w:rFonts w:ascii="Times New Roman;Times;Serif" w:hAnsi="Times New Roman;Times;Serif"/>
          <w:b w:val="false"/>
          <w:i w:val="false"/>
          <w:caps w:val="false"/>
          <w:smallCaps w:val="false"/>
          <w:sz w:val="20"/>
          <w:u w:val="single"/>
        </w:rPr>
        <w:t>FDIC</w:t>
      </w:r>
      <w:r>
        <w:rPr>
          <w:rFonts w:ascii="Times New Roman;Times;Serif" w:hAnsi="Times New Roman;Times;Serif"/>
          <w:b w:val="false"/>
          <w:i w:val="false"/>
          <w:caps w:val="false"/>
          <w:smallCaps w:val="false"/>
          <w:sz w:val="20"/>
        </w:rPr>
        <w:t>”) or the Securities Investor Protection Corporation (“</w:t>
      </w:r>
      <w:r>
        <w:rPr>
          <w:rFonts w:ascii="Times New Roman;Times;Serif" w:hAnsi="Times New Roman;Times;Serif"/>
          <w:b w:val="false"/>
          <w:i w:val="false"/>
          <w:caps w:val="false"/>
          <w:smallCaps w:val="false"/>
          <w:sz w:val="20"/>
          <w:u w:val="single"/>
        </w:rPr>
        <w:t>SIPC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BitGo is a state-chartered trust company organized under the laws of the State of South Dakota and regulated by the South Dakota Division of Banking. As a regulated trust company, BitGo is authorized to provide fiduciary custody services for digital assets, including Bitcoin, and is subject to ongoing regulatory oversight by its primary banking regulator. BitGo is considered a qualified custodian under applicable regulatory frameworks and holds client digital assets in segregated custody accounts that are not commingled with BitGo’s proprietary assets. BitGo maintains insurance coverage for certain losses of digital assets held in its custody through policies underwritten by a syndicate of insurers, including Lloyd’s of London and European market participants, with an aggregate specie insurance limit of up to $250 million for digital assets for which BitGo holds all private keys, and ancillary crime coverage, in each case subject to customary exclusions, deductibles and policy terms. However, digital assets held in BitGo’s custody are not guaranteed by BitGo and are not subject to the insurance protections of the FDIC or the SIPC.</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Coinbase is a limited-purpose trust company chartered under the New York Banking Law and is regulated by the New York State Department of Financial Services (“</w:t>
      </w:r>
      <w:r>
        <w:rPr>
          <w:rFonts w:ascii="Times New Roman;Times;Serif" w:hAnsi="Times New Roman;Times;Serif"/>
          <w:b w:val="false"/>
          <w:i w:val="false"/>
          <w:caps w:val="false"/>
          <w:smallCaps w:val="false"/>
          <w:sz w:val="20"/>
          <w:u w:val="single"/>
        </w:rPr>
        <w:t>NYDFS</w:t>
      </w:r>
      <w:r>
        <w:rPr>
          <w:rFonts w:ascii="Times New Roman;Times;Serif" w:hAnsi="Times New Roman;Times;Serif"/>
          <w:b w:val="false"/>
          <w:i w:val="false"/>
          <w:caps w:val="false"/>
          <w:smallCaps w:val="false"/>
          <w:sz w:val="20"/>
        </w:rPr>
        <w:t>”). As a fiduciary and regulated entity, Coinbase is authorized to provide custody services for a wide range of digital assets and is subject to regulatory oversight and capital requirements. Coinbase is a qualified custodian under the Advisers Act, and maintains client digital assets in segregated accounts that are legally distinct from Coinbase’s corporate assets. To protect against external threats, Coinbase maintains insurance coverage designed to cover losses resulting from theft or cybersecurity breaches. However, digital assets held by Coinbase are not guaranteed by Coinbase, insured by the FDIC or protected by the SIPC, and their value may fluctuate.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FalconX is an institutional prime brokerage that operates through several subsidiaries, including FalconX Bravo, Inc., a CFTC-registered swap dealer and a member of the National Futures Association, and FalconX Delta, Inc., a money services business registered with the Financial Crimes Enforcement Network (collectively, “</w:t>
      </w:r>
      <w:r>
        <w:rPr>
          <w:rFonts w:ascii="Times New Roman;Times;Serif" w:hAnsi="Times New Roman;Times;Serif"/>
          <w:b w:val="false"/>
          <w:i w:val="false"/>
          <w:caps w:val="false"/>
          <w:smallCaps w:val="false"/>
          <w:sz w:val="20"/>
          <w:u w:val="single"/>
        </w:rPr>
        <w:t>FalconX</w:t>
      </w:r>
      <w:r>
        <w:rPr>
          <w:rFonts w:ascii="Times New Roman;Times;Serif" w:hAnsi="Times New Roman;Times;Serif"/>
          <w:b w:val="false"/>
          <w:i w:val="false"/>
          <w:caps w:val="false"/>
          <w:smallCaps w:val="false"/>
          <w:sz w:val="20"/>
        </w:rPr>
        <w:t>”). FalconX is authorized to provide institutional access to the over-the-counter derivatives market and maintains numerous state-level money transmitter licenses. As a prime broker, FalconX provides integrated trading, credit and custody services, utilizing bankruptcy-remote structures so that client digital assets are held in segregated accounts and are not commingled with the firm’s proprietary assets. In addition to its own custodial infrastructure, FalconX provides “Prime Connect” services, which allow clients to trade while keeping assets in third-party qualified custody with NYDFS-regulated partners. FalconX maintains insurance coverage for digital assets held in its custody, but digital assets in its custody are not guaranteed by FalconX, insured by the FDIC or protected by the SIPC.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will continuously review and enhance its custody arrangements to ensure the highest standards of asset protection and operational resilience.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Artificial Intelligence, Data and Consumer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 of AI is developing and varies by jurisdiction. There is currently no comprehensive U.S. federal statute governing the development or use of AI. Federal activity to date has consisted principally of executive orders, agency policy statements and guidance, and voluntary frameworks, including the AI Risk Management Framework published by the National Institute of Standards and Technology, which is voluntary. A number of states have enacted AI legislation, which varies in scope and includes requirements relating to disclosure when a consumer is interacting with an AI system, transparency concerning training data and model capabilities, restrictions on specified uses of AI and obligations relating to automated decision-making. These laws have different effective dates, several remain subject to rulemaking or amendment, and their application to our products is not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are also subject to laws of general application that are increasingly being applied to AI, including federal and state prohibitions on unfair or deceptive acts and practices, consumer protection and anti-discrimination laws, privacy and data protection laws governing the collection, use, sharing and retention of personal and financial information, data security and breach notification requirements, and intellectual property laws, the application of which to the training of models and to model outputs remains unsettled. Several states, including Colorado, have enacted or are considering legislation that imposes specific obligations on deployers of AI systems used in consequential decisions, including requirements for impact assessments, bias testing, and consumer disclosures. Because the CFO Silvia platform connects to users’ financial accounts, our collection and use of that information may also be subject to financial privacy requirements, including the Gramm-Leach-Bliley Act. Outside the United States, the European Union has adopted Regulation (EU) 2024/1689, known as the Artificial Intelligence Act (“EU AI Act”), which establishes a risk-based framework with obligations that apply in phases and that was amended in 2026 to defer the application of certain obligations applicable to high-risk AI systems, and other jurisdictions have adopted or proposed AI, privacy and consumer protection requirements that differ from one another and from U.S. requirements. The EU AI Act could impose substantial compliance costs and operational constraints with our international operations. Other jurisdictions, including the United Kingdom, Canada, China, and Brazil, are also developing or have implemented AI-specific regulations that may affect the global competitive landscape and our ability to operate in certain markets. These requirements would apply to us only to the extent our products are made available in, or our activities otherwise have a sufficient connection to, the relevant jurisdiction.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financial services laws may apply to AI-enabled financial tools depending on the functionality those tools actually provide. The CFO Silvia platform is designed to provide informational, educational and analytical tools and is not intended to provide personalized investment advice within the meaning of the Advisers Act or to serve as a registered investment adviser, and Silvia Insights is intended to deliver research rather than individualized recommendations. However, the conversational nature of these platforms, which generate responses tailored to a user’s specific financial situation, could blur the distinction between information and advice in ways that are difficult to predict. The distinction between research, information and education, on the one hand, and investment advice or recommendations, on the other, depends on the functionality provided and on how regulators and courts apply existing standards to AI-enabled tools, which has not been settled. The SEC, FINRA, and state regulators have indicated increased focus on the use of AI in investment-related contexts. If the SEC, a state securities regulator or another authority were to conclude that one of our products provides investment advice or recommendations, additional registration, disclosure, conduct and compliance requirements could apply, we could be required to change the functionality of the product, and we could be subject to enforcement action for having previously operated without registration. See “Risk Factors—Risks Related to Our Business and AI-Strategy.”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Adviser Registration and Advisory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serves as investment adviser to the Initial Fund and the SPV Fund, and the General Partner serves as general partner of the Initial Fund. As of the date of this prospectus, neither the Investment Manager nor the General Partner is registered as an investment adviser with the SEC, and the Investment Manager relies on exemptions from registration under applicable federal and state law in connection with its private fund advisory activities. On September 17, 2026, the Investment Manager filed Parts 1 and 2A of Form ADV with the SEC to register as an investment adviser under the Advisers Act, but its registration has not yet become effective. The anti-fraud provisions of Section 206 of the Advisers Act apply to an investment adviser whether or not it is registered, and the Investment Manager is accordingly subject to the fiduciary and anti-fraud obligations those provisions impose, to applicable state law and to the anti-fraud provisions of the federal securities laws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applies at the adviser level rather than to particular clients. Once effective, the Investment Manager’s registration generally will govern its advisory business as a whole, and its advisory activities with respect to the Initial Fund, any other private funds and any SPVs, as well as its proposed sub-advisory services to the Silvia ETFs, would become subject to the requirements of the Advisers Act applicable to SEC-registered investment advisers. Those requirements include the compliance program and chief compliance officer requirements of Rule 206(4)-7, the advertising and marketing requirements of Rule 206(4)-1, code of ethics and personal trading requirements, books and records and reporting requirements, requirements applicable to the custody of client assets, limitations on performance-based compensation and SEC examination authority. An adviser to private funds is also subject to requirements and supervisory expectations concerning the valuation of fund assets, the allocation of fees and expenses, the treatment of conflicts of interest and the terms on which it and its affiliates transact with the funds they advise and with fund investors. The Investment Manager’s registration will not constitute registration of Silvia, Inc., the General Partner, any Fund or our consumer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Fund and Special Purpose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in the Initial Fund are being offered in a transaction exempt from registration in reliance on Section 4(a)(2) of the Securities Act and Regulation D thereunder, and the Initial Fund is not registered under the Investment Company Act in reliance on the exclusion provided by Section 3(c)(1) of that statute. The availability of these exemptions and exclusions depends on satisfying conditions relating to investor eligibility, the manner in which interests are offered and the number and nature of investors, and they limit participation in the Initial Fund to investors that satisfy specified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SPV Fund and any other private funds and SPVs that we or our subsidiaries sponsor, advise or manage may rely on the same or similar exemptions and exclusions, although their offering terms, investor eligibility requirements and applicable exclusions may differ by vehicle. A failure to satisfy the conditions of an applicable exemption or exclusion could require an affected Fund to register, restructure or discontinue its activities. See “Risk Factors—Risks Related to Our Expansion into Asset Management.”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Silvia ETF is proposed as a series of the ETF Trust, which is not affiliated with us and which is registered under the Investment Company Act as an open-end management investment company. The Adviser serves as investment adviser to the Silvia ETFs, and the Investment Manager is proposed to serve as Sub-Adviser and to provide portfolio management services. An investment adviser or sub-adviser to a registered investment company generally must be registered with the SEC under the Advisers Act and may not rely on the exemptions on which the Investment Manager currently relies. Based on the ETF Trust’s current filings on Form N-1A, the Silvia ETFs remain proposed, and no Silvia ETF may commence operations until the registration statement with respect to that fund has become effective, its shares have been approved for listing on a national securities exchange, the Investment Manager’s registration as an investment adviser has become effective and applicable distribution and operational arrangements are in place.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funds and their advisers are subject to extensive regulation under the Investment Company Act, the Advisers Act and the rules under those statutes, and shares of an exchange-traded fund are registered under the Securities Act on a registration statement on Form N-1A that must become effective before shares may be sold. Requirements that would apply to the Silvia ETFs and the parties that serve them include Rule 6c-11, which permits an exchange-traded fund satisfying its conditions to operate without individual exemptive relief and imposes portfolio holdings transparency, website disclosure and basket requirements; Rule 22e-4, which requires a liquidity risk management program; Rule 18f-4, which governs the use of derivatives; Rule 2a-5, which governs determinations of fair value and permits a fund’s board to designate a valuation designee; and Rule 35d-1, which generally requires a fund whose name suggests a particular investment focus to adopt a policy to invest at least 80% of the value of its assets in accordance with that focus. Advisory and sub-advisory agreements must be approved in the manner required by Section 15 of the Investment Company Act, and compensation received for advisory services is subject to the fiduciary duty imposed by Section 36(b) of that statute, which may be enforced through private litigation. The listing and continued listing of fund shares are also subject to the rules of the exchange on which they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responsibility for compliance with these requirements rests with the ETF Trust, its board of trustees and the Adviser. The Sub-Adviser would perform portfolio management and related functions subject to the supervision and oversight of the Adviser and that board, and would perform the compliance-related responsibilities allocated to it under the sub-advisory arrangements, in each case as and to the extent so allocated. The Sub-Adviser is not expected to hold the assets of any Silvia ETF, which are expected to be held by the ETF Trust’s custodian. See “Risk Factors—Risks Related to Our Expansion into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and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applicable to Bitcoin and digital assets are evolving and subject to interpretation and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around the world have reacted differently to digital assets; certain governments have deemed them illegal, and others have adopted regulatory frameworks permitting their use and trade with varying degrees of restriction, while in some jurisdictions, such as the U.S., digital assets are subject to overlapping, uncertain and evolving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digital assets have grown in both popularity and market size, the U.S. Executive Branch, Congress and a number of U.S. federal and state agencies, including the Financial Crimes Enforcement Network, the CFTC, the SEC, the Financial Industry Regulatory Authority, the Consumer Financial Protection Bureau, the Department of Justice, the Department of Homeland Security, the Federal Bureau of Investigation, the IRS and state financial regulators, have been examining the operations of digital asset networks, digital asset users and digital asset exchanges, with particular focus on the extent to which digital assets can be used to violate state or federal laws, including to facilitate the laundering of proceeds of illegal activities or the funding of criminal or terrorist enterprises, and the safety and soundness and consumer-protective safeguards of exchanges or other service-providers that hold, transfer, trade or exchange digital assets for users. Many of these state and federal agencies have issued consumer advisories regarding the risks posed by digital assets to investors. In addition, federal and state agencies, as well as other countries have issued rules or guidance regarding the treatment of digital asset transactions and requirements for businesses engaged in activities related to digital assets.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regulatory characterization of Bitcoin, the markets for Bitcoin in general, and Silvia’s activities in particular, Silvia’s business and Bitcoin strategy, including the “treasury” approach, may be subject to regulation by one or more regulators in the United States and globally. Ongoing and future regulatory actions may alter, to a materially adverse extent, the nature of digital assets markets, the participation of industry participants, including service providers and financial institutions in these markets, and our ability to pursue our Bitcoin strategies. Additionally, U.S. state and federal and foreign regulators and legislatures have taken action against industry participants, including digital assets businesses, and enacted restrictive regimes in response to adverse publicity arising from hacks, consumer harm, or criminal activity stemming from digital assets activity. U.S. federal and state energy regulators have expressed concern regarding the total electricity consumption of cryptocurrency mining, and the potential impacts of cryptocurrency mining on the supply and dispatch functionality of the wholesale grid and retail distribution systems. Some state legislative bodies have passed, or are actively considering, legislation to address the impact of cryptocurrency mining in their respective states. For risks associated with the regulations to which we may be subject to, please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CFTC takes the position that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currently regulate cash or spot market transactions involving digital assets (such as the Bitcoin treasury strategy) or exchanges that facilitate such transactions, provided that such transactions do not utilize margin, leverage, or financing. Rather, the CFTC’s regulations and enforcement authority generally apply to futures, swaps, other derivative products and certain retail leveraged commodity transactions involving digital asset commodities, including the markets on which these products trade. Several proposed pieces of U.S. federal legislation may significantly expand or clarify the jurisdiction of the CFTC or other regulatory agencies over cryptocurrency-related companies, including Bitcoin treasury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its staff have taken the position that certain other digital assets fall within the definition of a “security” under the U.S. federal securities laws. Public statements made by senior officials and senior members of the staff at the SEC indicate that the SEC does not currently consider Bitcoin to be a security under the federal securities laws. However, such statements are not official policy statements by the SEC and reflect only the speakers’ views, which are not binding on the SEC or any other agency or court and cannot be generalized to any other digital assets. Future regulatory developments with respect to Bitcoin from the CFTC, SEC, or any other federal or state regulator, are difficult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Bitcoin network transactions are pseudonymous, they may be susceptible to misuse for criminal activities, such as money laundering. Such transactions are recorded on a public ledger, allowing for forensic analysis that can link transactions to individuals or entities under certain circumstances. Nevertheless, this misuse, or the perception of such misuse, could lead to greater regulatory oversight of Bitcoin and Bitcoin platforms, and there is the possibility that law enforcement agencies may seize or shut down digital asset exchanges or service providers, which could prevent users from accessing custodial-held assets. Users who self-custody Bitcoin in private wallets remain outside the direct reach of such actions. For example, the U.S. Treasury Department’s Office of Foreign Assets Control has issued updated advisories regarding the use of virtual currencies, added a number of digital asset exchanges and service providers to the Specially Designated Nationals and Blocked Persons list and engaged in several enforcement actions, including a series of enforcement actions that have either shut down or significantly curtailed the operations of several smaller digital asset exchanges associated with Russian and/or North Korean nationals. Additionally, in January 2025, the Consumer Financial Protection Bureau announced that it is seeking public input on privacy protections and surveillance in digital payments, particularly those offered through large technology platforms.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activities involving Bitcoin and other digital assets may fall within the jurisdiction of more than one financial regulator and various courts and such laws and regulations are rapidly evolving and increasing in scope. On January 23, 2025, President Trump issued an executive order titled, “Strengthening American Leadership in Digital Financial Technology.” While the executive order did not mandate the adoption of any specific regulations, the executive order identifies certain key objectives to guide agencies involved in cryptocurrency regulation, including (i) protecting the sovereignty of the United States dollar by promoting the development of United States dollar-backed stablecoins, (ii) providing regulatory clarity and certainty built on technology-neutral regulations for individuals and firms involved in digital assets, including through well-defined jurisdictional regulatory boundaries, and (iii) taking measures to protect Americans from the risks of CBDCs. To achieve these objectives, the executive order established a working group on digital asset markets within the National Economic Council, comprised of representatives from key federal agencies, with a tight timeline for examining existing regulations and proposing a new regulatory framework. There have also been several bills introduced in Congress that propose to establish additional regulation and oversight of the digital asset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is currently pending in the U.S. Congress which, if passed and signed into law, could significantly affect the digital currency and digital asset markets. One such piece of legislation is the Digital Asset Market Clarity Act of 2025 (“</w:t>
      </w:r>
      <w:r>
        <w:rPr>
          <w:rFonts w:ascii="Times New Roman;Times;Serif" w:hAnsi="Times New Roman;Times;Serif"/>
          <w:b w:val="false"/>
          <w:i w:val="false"/>
          <w:caps w:val="false"/>
          <w:smallCaps w:val="false"/>
          <w:sz w:val="20"/>
          <w:u w:val="single"/>
        </w:rPr>
        <w:t>CLARITY Act</w:t>
      </w:r>
      <w:r>
        <w:rPr>
          <w:rFonts w:ascii="Times New Roman;Times;Serif" w:hAnsi="Times New Roman;Times;Serif"/>
          <w:b w:val="false"/>
          <w:i w:val="false"/>
          <w:caps w:val="false"/>
          <w:smallCaps w:val="false"/>
          <w:sz w:val="20"/>
        </w:rPr>
        <w:t>”), which would clarify which digital currencies and digital assets are commodities, as opposed to securities. Additionally, the CLARITY Act would subject certain spot-market digital commodities to a comprehensive regulatory regime for the first time. For example, the legislation would require several different types of entities to register with the CFTC and/or SEC and comply with various regulatory requirements that would be promulgated by the CFTC and SEC. Further, the legislation would require issuers of new and “non-mature” digital commodities to make a mandatory filing with the SEC containing information regarding the issuer, planned use of proceeds, economics, governance and development roadmap. The details of the legislation are likely to change from its current form as it is reviewed and revised by the U.S. House of Representatives and the Senate, and it is unknown at this time whether it will be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maintain and use trade names, registered and unregistered trademarks, domain names, and logos, which we consider material to our brand identity. We may pursue registration of certain marks or content in various jurisdictions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CFO Silvia, Inc., we acquired the proprietary software, data infrastructure and related technology underlying the CFO Silvia platform, together with the related trade names, domain names and other intellectual property used in that business. We rely primarily on trade secret and copyright protection, together with confidentiality and intellectual property assignment provisions in our employment and other agreements, to protect that technology. However, the extent to which AI-related innovations, including trained model weights, are protectable as trade secrets or copyrightable works remains uncertain, and we may be unable to prevent competitors from independently developing similar technologies or from reverse-engineering or replicating aspects of our AI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executive officers are our Chief Executive Officer, Chief Operating Officer, Chief Legal Officer, Secretary and Chief Compliance Officer, Chief Financial Officer and Chief Technology Officer, all of whom are located in the United States. In connection with our acquisition of CFO Silvia, Inc., we added the employees of that business, including its development team. Since the acquisition of CFO Silvia, Inc., we have added approximately 20 employees and contractors. None of our employees are represented by a labor union or covered by a collective bargaining agreement. We may, from time to time, engage third-party contractors and consultants to support our operations, and our Board of Directors or our executive officers may authorize the hiring of additional employees as operational needs expand.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corporate office is located at 600 Lexington Avenue, Floor 2, New York, New York 10022, where we occupy approximately 3,418 square feet under an operating sub-lease that may be terminated by either party on 60 days’ notice. In February 2026, we entered into a lease for approximately 3,999 square feet at 600 Lexington Avenue, Floor 3, New York, New York 10022, with an initial term of 45 months that commenced on February 1, 2026 and expires on October 31, 2029. We believe that these facilities are adequate for our near-term needs and that suitable additional facilities will be available in the future if and when needed.</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our subsidiaries may become involved in legal proceedings or be subject to claims arising in the ordinary course of our business. We are not currently a party to any legal proceedings, the outcome of which, if determined adversely, is reasonably expected to individually or in the aggregate have a material adverse effect on our business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website address is </w:t>
      </w:r>
      <w:r>
        <w:rPr>
          <w:rFonts w:ascii="Times New Roman;Times;Serif" w:hAnsi="Times New Roman;Times;Serif"/>
          <w:b w:val="false"/>
          <w:i/>
          <w:caps w:val="false"/>
          <w:smallCaps w:val="false"/>
          <w:sz w:val="20"/>
        </w:rPr>
        <w:t>https://www.silvia.com/</w:t>
      </w:r>
      <w:r>
        <w:rPr>
          <w:rFonts w:ascii="Times New Roman;Times;Serif" w:hAnsi="Times New Roman;Times;Serif"/>
          <w:b w:val="false"/>
          <w:i w:val="false"/>
          <w:caps w:val="false"/>
          <w:smallCaps w:val="false"/>
          <w:sz w:val="20"/>
        </w:rPr>
        <w:t>. We make available, free of charge through the Investor Relations portion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website or connected thereto does not constitute part of, and is not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Periodic Reporting and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the initial sale of our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evaluate and report on our internal control procedures over financial reporting as required by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following the fifth anniversary of the completion of the initial public offering, (b) in which we have total annual gross revenue of at least $1.235 billion, or (c) in which we are deemed to be a large accelerated filer, which means the market value of our common stock that is held by non-affiliates equals or exceeds $700 million as of the prior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(2) the date on which we have issued more than $1.0 billion in non-convertible debt securities during the prior three-year period. References herein to “emerging growth company” shall have the meaning associated with it in the JOBS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BP_012"/>
      <w:bookmarkEnd w:id="13"/>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the persons who serve as our executive officers and directors.</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28" w:type="dxa"/>
          <w:right w:w="0" w:type="dxa"/>
        </w:tblCellMar>
      </w:tblPr>
      <w:tblGrid>
        <w:gridCol w:w="2330"/>
        <w:gridCol w:w="60"/>
        <w:gridCol w:w="350"/>
        <w:gridCol w:w="60"/>
        <w:gridCol w:w="3140"/>
      </w:tblGrid>
      <w:tr>
        <w:trPr/>
        <w:tc>
          <w:tcPr>
            <w:tcW w:w="23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J. Pompliano III</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Megan Pacchia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Wood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 and Secretary</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Shain Noor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Quin</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Koutsouras</w:t>
            </w:r>
            <w:r>
              <w:rPr>
                <w:rFonts w:ascii="Times New Roman;Times;Serif" w:hAnsi="Times New Roman;Times;Serif"/>
                <w:b w:val="false"/>
                <w:i w:val="false"/>
                <w:caps w:val="false"/>
                <w:smallCaps w:val="false"/>
                <w:position w:val="7"/>
                <w:sz w:val="16"/>
                <w:sz w:val="20"/>
              </w:rPr>
              <w:t>(1)(2)(3)(4)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M. Jackson</w:t>
            </w:r>
            <w:r>
              <w:rPr>
                <w:rFonts w:ascii="Times New Roman;Times;Serif" w:hAnsi="Times New Roman;Times;Serif"/>
                <w:b w:val="false"/>
                <w:i w:val="false"/>
                <w:caps w:val="false"/>
                <w:smallCaps w:val="false"/>
                <w:position w:val="7"/>
                <w:sz w:val="16"/>
                <w:sz w:val="20"/>
              </w:rPr>
              <w:t>(1)(2)(3)(4)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Buchanan</w:t>
            </w:r>
            <w:r>
              <w:rPr>
                <w:rFonts w:ascii="Times New Roman;Times;Serif" w:hAnsi="Times New Roman;Times;Serif"/>
                <w:b w:val="false"/>
                <w:i w:val="false"/>
                <w:caps w:val="false"/>
                <w:smallCaps w:val="false"/>
                <w:position w:val="7"/>
                <w:sz w:val="16"/>
                <w:sz w:val="20"/>
              </w:rPr>
              <w:t>(1)(2)(3)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Member of 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Member of Compensation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Member of Governance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Member of Treasury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Anthony J. Pompliano III</w:t>
      </w:r>
      <w:r>
        <w:rPr>
          <w:rFonts w:ascii="Times New Roman;Times;Serif" w:hAnsi="Times New Roman;Times;Serif"/>
          <w:b w:val="false"/>
          <w:i w:val="false"/>
          <w:caps w:val="false"/>
          <w:smallCaps w:val="false"/>
          <w:sz w:val="20"/>
        </w:rPr>
        <w:t>, 38, has served as our Chief Executive Officer and Chairman of the Board since June 2025. Additionally, Mr. Pompliano has served as the chief executive officer and sole Manager of Legacy ProCap since June 2025 and the chief executive officer and member of the board of directors of ProCap Acquisition Corp., a special purpose acquisition company, since May 2025. He is also the founder and has served as the Chief Executive Officer of Professional Capital Management since January 2022. Professional Capital Management is a global investment firm backed by leading venture capitalists and business executives. The organization leverages a large social media following to create and acquire cash-flow positive businesses. The profits from the operating companies are then invested across the public and private market. Prior to founding Professional Capital Management, Mr. Pompliano has been an entrepreneur and private investor for more than 14 years, having invested in more than 300 companies.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currently hosts podcasts in business and investing on “The Pomp Podcast,” while also writing a daily letter to 260,000+ investors each morning. Mr. Pompliano was a co-founder and managing partner at Full Tilt Capital from 2016 until it was acquired by Morgan Creek Digital Assets in 2018. Mr. Pompliano was a co-founder and managing partner of Morgan Creek Digital Assets from 2018 to 2020.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his investment career, Mr. Pompliano ran product and growth teams at Facebook, and served as a sergeant in the US Army. Mr. Pompliano graduated from Bucknell University with a degree in economics. Mr. Pompliano is well qualified to serve as a member of the Board due to his operational, financial, and Bitcoin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Renae Cormier</w:t>
      </w:r>
      <w:r>
        <w:rPr>
          <w:rFonts w:ascii="Times New Roman;Times;Serif" w:hAnsi="Times New Roman;Times;Serif"/>
          <w:b w:val="false"/>
          <w:i w:val="false"/>
          <w:caps w:val="false"/>
          <w:smallCaps w:val="false"/>
          <w:sz w:val="20"/>
        </w:rPr>
        <w:t>, 54, has served as our Chief Financial Officer since December 1, 2025. Ms. Cormier previously served as Chief Financial Officer of Semler Scientific, Inc. (“</w:t>
      </w:r>
      <w:r>
        <w:rPr>
          <w:rFonts w:ascii="Times New Roman;Times;Serif" w:hAnsi="Times New Roman;Times;Serif"/>
          <w:b w:val="false"/>
          <w:i w:val="false"/>
          <w:caps w:val="false"/>
          <w:smallCaps w:val="false"/>
          <w:sz w:val="20"/>
          <w:u w:val="single"/>
        </w:rPr>
        <w:t>Semler Scientific</w:t>
      </w:r>
      <w:r>
        <w:rPr>
          <w:rFonts w:ascii="Times New Roman;Times;Serif" w:hAnsi="Times New Roman;Times;Serif"/>
          <w:b w:val="false"/>
          <w:i w:val="false"/>
          <w:caps w:val="false"/>
          <w:smallCaps w:val="false"/>
          <w:sz w:val="20"/>
        </w:rPr>
        <w:t>”) since July 2023, where she led and managed all Bitcoin treasury, accounting, finance, investor relations, business development, and legal and human resources functions for the publicly traded Bitcoin treasury and healthcare technology company. In that capacity, she has been responsible for Bitcoin treasury, SEC reporting, Sarbanes-Oxley Act compliance, tax compliance, budgeting, financial planning and analysis, corporate development and mergers and acquisitions. From April 2025 to October 2025, she also served as Treasurer and Secretary and as a director of CardioVanta, Inc., a wholly owned subsidiary of Semler Scientific. From May 2022 to July 2023, she served as Semler Scientific’s head of corporate communications and business strategy. From September 2013 to March 2022, Ms. Cormier was a Partner and investment professional at Aravt Global LLC, an investment fund that focused on global public equity investments in high-growth companies across multiple sectors. From 2001 to 2010, Ms. Cormier was an equity analyst and director of financial research at Ziff Brothers Investments. From 1997 to 2001 she was an auditor and transaction advisory professional in the Transaction Services practice at PricewaterhouseCoopers. Ms. Cormier holds a Bachelor of Science degree in Accounting and Finance from the University of Colorado Denver.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Megan Pacchia</w:t>
      </w:r>
      <w:r>
        <w:rPr>
          <w:rFonts w:ascii="Times New Roman;Times;Serif" w:hAnsi="Times New Roman;Times;Serif"/>
          <w:b w:val="false"/>
          <w:i w:val="false"/>
          <w:caps w:val="false"/>
          <w:smallCaps w:val="false"/>
          <w:sz w:val="20"/>
        </w:rPr>
        <w:t>, 41, has served as our Chief Operating Officer since September 15, 2025. Prior to joining Silvia, Ms. Pacchia spent the past 14 years at McKinsey &amp; Company, where she was Partner from January 2018 to September 2025. While at McKinsey &amp; Company, Ms. Pacchia provided strategic consulting services to Fortune 500 Consumer clients in the areas of digital innovation, transformation, and growth strategy. From 2006 to 2009, she worked as an Analyst and Senior Analyst at Morgan Stanley in the Capital Markets and Global Wealth Management Divisions. Ms. Pacchia is a Co-Founder of PubKey, Inc., where she has served as non-operating partner since May 2022. Ms. Pacchia holds a Bachelor’s degree in History from Wesleyan University and a Master of Business Administration from Harvard Business School.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Kyle Wood</w:t>
      </w:r>
      <w:r>
        <w:rPr>
          <w:rFonts w:ascii="Times New Roman;Times;Serif" w:hAnsi="Times New Roman;Times;Serif"/>
          <w:b w:val="false"/>
          <w:i w:val="false"/>
          <w:caps w:val="false"/>
          <w:smallCaps w:val="false"/>
          <w:sz w:val="20"/>
        </w:rPr>
        <w:t>, 50, has served as our Chief Legal Officer, Chief Compliance Officer and Secretary since August 25, 2025. He served as the Chief Legal Officer of Pishevar Family Office, LLC from January 2020 to July 2025, where he acted as Chief Legal Officer of its affiliated private fund, Sofreh Capital LP. Mr. Wood specializes in corporate governance, regulatory compliance, and risk management. Before his most recent roles, he was a partner at Perkins Coie, where he was involved in the law firm’s blockchain technology and digital assets group. Mr. Wood holds a Bachelor’s degree in Economics from the University of Virginia and a Juris Doctor from Santa Clara University School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Shain Noor</w:t>
      </w:r>
      <w:r>
        <w:rPr>
          <w:rFonts w:ascii="Times New Roman;Times;Serif" w:hAnsi="Times New Roman;Times;Serif"/>
          <w:b w:val="false"/>
          <w:i w:val="false"/>
          <w:caps w:val="false"/>
          <w:smallCaps w:val="false"/>
          <w:sz w:val="20"/>
        </w:rPr>
        <w:t>, 26, has served as our Chief Technology Officer since April 2026. He joined us in connection with our acquisition of CFO Silvia, Inc., which he co-founded in February 2025. From its founding until the acquisition, he served as CFO Silvia’s President and Chief Executive Officer and was responsible for developing and growing the CFO Silvia AI platform. Prior to CFO Silvia, from 2021-2024, Mr. Noor was a software engineer at Influur. He also held engineering roles at technology companies, including Director of Blockchain Engineering at YDY, and engineering internship roles at NASA and The Boring Company.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Gary Quin</w:t>
      </w:r>
      <w:r>
        <w:rPr>
          <w:rFonts w:ascii="Times New Roman;Times;Serif" w:hAnsi="Times New Roman;Times;Serif"/>
          <w:b w:val="false"/>
          <w:i w:val="false"/>
          <w:caps w:val="false"/>
          <w:smallCaps w:val="false"/>
          <w:sz w:val="20"/>
        </w:rPr>
        <w:t>, 56, has served as a member of the Board since December 5, 2025. Mr. Quin has served as the Chairman of the Board and Chief Executive Officer of CCCM since April 2025. He has over 30 years of corporate and financial experience and has executed approximately $65 billion in M&amp;A and capital market transactions throughout his career. Mr. Quin is currently the Vice Chairman of Cohen Capital Markets, a position he has held since 2024. He is responsible for leading and expanding the firm’s investment banking operations throughout the European, Middle Eastern, and African regions and has extensive connections in the global financial sponsor community. He also has deep sectoral expertise in telecoms, media (including sports and media rights), digital infrastructure, real estate, and financial services (including fintech). His expertise spans a wide array of industries, enabling him to provide strategic counsel and execution support to clients across diverse sectors. Mr. Quin is also currently a board member of Venturerock BV, a Dutch venture capital firm. In October 2020, Mr. Quin became the Chief Executive Officer of North Atlantic Acquisition Corp (“NAAC”), which completed a $330 million IPO and raised a total of $383 million. In January 2023, NAAC announced its dissolution and the liquidation and return of assets held in trust to its shareholders. Prior to NAAC, Mr. Quin was Vice Chairman of Credit Suisse Group investment banking division in Europe from 2010 to December 2019, where he advised Europe’s corporates, governments, financial sponsors and family offices across M&amp;A, private and public capital raising. Prior to this, Mr. Quin also served as Senior Advisor to The Blackstone Group from 2011 to 2012, during which time Blackstone acquired Eircom Limited for $3.8 billion. Mr. Quin received his bachelor’s degree from the University College Cork, Ireland and his M.B.A. from Trinity College Dublin, Ireland. Mr. Quin is well-qualified to serve as a director due to his extensive finance and operational experience in a variety of industries and sectors.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Bill Koutsouras</w:t>
      </w:r>
      <w:r>
        <w:rPr>
          <w:rFonts w:ascii="Times New Roman;Times;Serif" w:hAnsi="Times New Roman;Times;Serif"/>
          <w:b w:val="false"/>
          <w:i w:val="false"/>
          <w:caps w:val="false"/>
          <w:smallCaps w:val="false"/>
          <w:sz w:val="20"/>
        </w:rPr>
        <w:t>, 54, has served as lead independent director and the chair of the Audit Committee of the Board since December 5, 2025. Mr. Koutsouras is a seasoned finance executive and director with more than 20 years of public company board experience across governance, strategy, audit, and capital markets. He currently serves as Lead Independent Director and Chair of the Audit Committee of Galaxy Digital Inc. (Nasdaq: GLXY) since 2018 and as an Independent Director of Wheaton Precious Metals International, a subsidiary of Wheaton Precious Metals (NYSE: WPM) since 2004. Since 2011, Mr. Koutsouras has served as President and Director of Kouts Capital, an investment and advisory services company that provides strategic advice and assistance to companies with corporate finance and capital markets transactions. Previously, Mr. Koutsouras was Executive Vice President, Chief Financial Officer and a Director of Endeavour Financial from 2002 to 2011, where he was involved in over $25 billion of mergers and acquisition transactions and more than $4 billion of financing transactions. He also served as Independent Director and Chairman of the Board for WonderFi Technologies from November 2021 to September 2022, as Independent Director for Norsemont Mining from July 2020 to September 2021, and as Independent Director for Aton Resources from May 2014 to September 2021. Mr. Koutsouras also previously worked as a Senior Associate at PricewaterhouseCoopers and EvansMartins Chartered Accountants. Mr. Koutsouras holds a Bachelor’s degree in Economics from the University of Toronto, and is a Chartered Professional Accountant (CPA) and Chartered Financial Analyst (CFA). Mr. Koutsouras is well-qualified to serve as a director due to his extensive financial, audit, and capital markets expertise, executive leadership experience, and long-standing service on public company boards.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Eric M. Jackson</w:t>
      </w:r>
      <w:r>
        <w:rPr>
          <w:rFonts w:ascii="Times New Roman;Times;Serif" w:hAnsi="Times New Roman;Times;Serif"/>
          <w:b w:val="false"/>
          <w:i w:val="false"/>
          <w:caps w:val="false"/>
          <w:smallCaps w:val="false"/>
          <w:sz w:val="20"/>
        </w:rPr>
        <w:t>, 54, has served as an independent director and chair of the Compensation Committee of the Board since December 5, 2025. Mr. Jackson long advocated for shareholder value at Yahoo! from 2006 to 2016 and has led the Rising Dynasty and OPEN Army, the retail shareholder movement, since July 2025. He is the founder and president of EMJ Capital Ltd, a position he has held since October 2016, where he serves as portfolio manager of a technology-focused hedge fund. He served as a managing director and portfolio manager at SpringOwl Event Driven Partners from September 2015 to October 2016, where he led shareholder activist campaigns. Mr. Jackson was also the founder and Managing Member of Ironfire Capital LLC, from February 2008 to August 2015. Before that, he served as president of Jackson Leadership Systems Inc. from February 2004 to June 2010, and as Vice President of Business Development &amp; Strategy at VoiceGenie Technologies Inc. from March 2000 to February 2004. Mr. Jackson received a Ph.D. and master’s degree in Strategy from Columbia Business School and a B.A. in English from McGill University. Mr. Jackson is well-qualified to serve as director due to his extensive experience as hedge fund portfolio manager and as an activist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Benjamin Buchanan</w:t>
      </w:r>
      <w:r>
        <w:rPr>
          <w:rFonts w:ascii="Times New Roman;Times;Serif" w:hAnsi="Times New Roman;Times;Serif"/>
          <w:b w:val="false"/>
          <w:i w:val="false"/>
          <w:caps w:val="false"/>
          <w:smallCaps w:val="false"/>
          <w:sz w:val="20"/>
        </w:rPr>
        <w:t>, 40, has served as a member of the Board since July 15, 2026. Mr. Buchanan has served as the Chief Executive Officer of All Current, a provider of electrical solutions, since January 2025. He previously served as Executive Vice President and Chief Operating Officer of LindFast Solutions Group, a master distributor of fasteners in North America, from July 2022 to October 2024, and as its Chief Financial Officer from September 2019 to July 2022. Prior to joining LindFast Solutions Group, Mr. Buchanan served as the Chief Financial Officer of US Greenfiber, a cellulose insulation manufacturer, from July 2018 to August 2019. Mr. Buchanan has also served on the board of directors of Argus Monitoring Solutions since February 2022. Mr. Buchanan received his degree in Economics from Samford University and his Master of Business Administration from the University of Kentucky. Mr. Buchanan is well-qualified to serve as a director due to his strategic, operational and broad business experience.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the Board. The Board consists of five members. Mr. Pompliano is a Class III director and serves as Chairman of the Board. Gary Quin was designated by CCCM, and is a Class II director. The primary responsibilities of the Board are to provide oversight, strategic guidance, counseling and direction to our management. The Board meets on a regular basis and additionally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our Charter, the Board is divided into three classes, Class I, Class II and Class III, with, only one class of directors being elected each year and each class serving a three-year term. There is no cumulative voting with respect to the election of directors, with the result that the holders of more than 50% of the shares voted for the election of directors can elect all of the directors. The Board is divided into the following classes: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consisting of Eric Jackson and Benjamin Buchanan, whose term will expire at our annual meeting of stockholders to be held in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consisting of Bill Koutsouras and Gary Quin, whose terms will expire at our annual meeting of stockholders to be held in 2027;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consisting of Mr. Pompliano, whose term will expire at our annual meeting of stockholders to be held in 2028.</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provided that no decrease in the number of directors constituting the Board shall shorten the term of any incumbent director. Directors already in office at the time such classification becomes effective and who will remain in office shall be assigned to each class in accordance with a resolution or resolutions adopted by the Board. A person so elected by the Board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shall shorten the term of any incumbent director. This classification of the Board may have the effect of delaying or preventing changes in our control or management. Any director or the entire Board may be removed from office at any time, but only for cause, and only by the affirmative vote of the holders of at least 66 ⅔% of the voting power of our issued and outstanding capital stock entitled to vote in the election of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standards, a majority of the members of the Board must qualify as “independent,” as affirmatively determined by the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Based on information provided by each director concerning his or her background, employment and affiliations, each of the directors on the Board, other than Mr. Pompliano and Mr. Quin, qualify as independent directors, as defined under the Nasdaq Rules, and the Board consists of a majority of “independent directors,” as defined under the rules of the SEC and the Nasdaq Rules relating to director independence requirements. In addition, we are subject to the rules of the SEC and Nasdaq relating to the membership, qualifications and operations of the audit committee and compensation committee, as discussed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our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the Board will be responsible for monitoring and assessing strategic risk exposure and the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Our Audit Committee will also monitor compliance with legal and regulatory requirements. Our Compensation Committee will assess and monitor whether our compensation plans, policies and programs comply with applicable legal and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four standing committees: the Audit Committee, the Compensation Committee, the Governance Committee, and the Treasury Committee.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Bill Koutsouras, Eric Jackson and Benjamin Buchanan. The Board determined that each of the members of the Audit Committee satisfies the independence requirements of the Nasdaq Rules and Rule 10A-3 under the Exchange Act. Each member of the Audit Committee can read and understand fundamental financial statements in accordance with applicable audit committee requirements. In arriving at this determination, the Board examined each candidate’s scope of experience and the nature of their prior and/or current employment.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Koutsouras serves as the chair of the Audit Committee and the Board determined that Mr. Koutsouras qualifies as an audit committee financial expert within the meaning of SEC regulations and meets the financial sophistication requirements of the Nasdaq Rules. In making this determination, the Board considered his Bachelor’s degree in Economics from the University of Toronto, his CPA and CFA certifications and his extensive financial, audit, and capital markets expertise, executive leadership experience, and long-standing service on public company boards. Both our independent registered public accounting firm and management periodically will meet privately with the Audit Committee.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retain, compensate, evaluate, oversee and, where appropriate, terminate our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the scope and plans for the audits and the audit fees and approve all non-audit and tax services to be performed by the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independence and qualifications of our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our consolidated financial statements, and discuss with management and our independent registered public accounting firm the results of the annual audit and the quarterly reviews;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our independent registered public accounting firm the quality and adequacy of our internal controls and our disclosure controls and procedures;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our procedures regarding the presentation of our financial information, and review earnings press releases and guidance;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design, implementation and performance of our internal audit function,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hiring policies with regard to the hiring of employees and former employees of our independent registered public accounting firm and oversee compliance with such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approve and monitor related party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monitor compliance with our Code of Business Conduct and Ethics and consider questions of actual or possible conflicts of interest of our directors and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and oversee procedures to address complaints regarding accounting, internal accounting controls and auditing matters, including confidential, anonymous submissions by our employees of concerns regarding questionable accounting or auditing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our independent registered public accounting firm the adequacy and effectiveness of our legal, regulatory and ethical compliance programs;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our independent registered public accounting firm our guidelines and policies to identify, monitor and address enterprise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 to the Board that the audited financial statements and the disclosure under “Management’s Discussion and Analysis of Financial Condition and Results of Operations” be included in our annual report on Form 10-K and whether the annual report on Form 10-K should be filed with the SEC; and to produce the audit committee report required to be included in our proxy statement.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operates under a written charter that satisfies the applicable rules and regulations of the SEC and the listing standards of Nasdaq.</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Eric Jackson, Bill Koutsouras and Benjamin Buchanan. Eric Jackson serves as the chair of the Compensation Committee. The Board determined that each of the members of the Compensation Committee is a non-employee director, as defined in Rule 16b-3 promulgated under the Exchange Act and satisfies the independence requirements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or recommend to the Board for approval the compensation for our executive officers, including the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approve and administer the employee benefit and equity incentive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Board on stockholder proposals related to executive compensation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review the compensation plans and programs of our employees, and ensure that they are consistent with our general compensation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management of risks relating to executive compensation plans and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compliance with any stock ownership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creation or revision of any clawback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or recommend to the Board for approval non-employee director compensation;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executive compensation disclosure in our SEC filings and prepare the Compensation Committee report required to be included in our annual proxy statement.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operates under a written charter that satisfies the applicable rules and regulations of the SEC and the listing standards of Nasdaq.</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Governance Committee consists of Eric Jackson, Bill Koutsouras and Benjamin Buchanan. Benjamin Buchanan serves as the chair of the Governance Committee. The Board determined that each of the members of the Governance Committee satisfies the independence requirements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Governance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assess and make recommendations to the Board regarding desired qualifications, expertise and characteristics sought of members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evaluate, select or make recommendations to the Board regarding nominees for election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policies and procedures for considering stockholder nominees for election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our succession planning process for our chief executive officer and any other members of our executive management team;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make recommendations to the Board regarding the composition, organization and governance the Board and its committees;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make recommendations to the Board regarding the corporate governance guidelines and corporate governance framework;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director orientation for new directors and continuing education for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our environmental, social and governance programs and related disclosures and communications;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evaluation of the performance of the Board and its committees;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 policies and procedures for communications with the non-management members of the Board.</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operates under a written charter that satisfies the applicable rules and regulations of the SEC and the listing standards of Nasdaq.</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Treasury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Committee is comprised of Bill Koutsouras, Anthony Pompliano and Eric Jackson, and Gary Quin serves as chair of the Treasury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Treasury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the Company’s compliance with the Treasury Reserve Assets and Investment Policy as the Board-designated committee, providing governance over designated officers’ management of treasury reserve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grants prior written approval for transactions between approved custodians, including the ability to condition approvals and withdraw them prior to execution if material changes occur;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approves the initial list of approved providers and must approve entry into, termination of, and material amendments to agreements with such providers; changes to the provider list require its approval following consultation by designated officers with legal, finance, and tax advisors;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sets maximum and minimum percentage thresholds for categories of treasury reserve assets (fiat assets, BTC, BTC-linked instruments, and non-core Assets) to manage concentration risk and align with strategic objectives;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the working capital threshold at least semi-annually, including liquidity stress-testing under adverse market or operational conditions, with results documented and reported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treasury reserve asset allocations at least quarterly based on fair-value accounting and may authorize rebalancing to restore the desired risk profile when holdings deviate materially from targets;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insurance coverage for treasury reserve assets, including provider-provided insurance and corporate cyber liability policies, with annual reassessment of coverage limits.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have ever been an executive officer or employee of the Company. None of our executive officers currently serve, or has served during the last completed fiscal year, on the Compensation Committee or board of directors of any other entity that has one or more executive officers that will serve as a member of the Board or our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the liability of our officers and directors for monetary damages to the fullest extent permitted by applicable law. The DGCL provides that officers and directors of a corporation will not be personally liable for monetary damages for breach of their fiduciary duties, except for liability:</w:t>
      </w:r>
    </w:p>
    <w:p>
      <w:pPr>
        <w:pStyle w:val="TextBody"/>
        <w:bidi w:val="0"/>
        <w:spacing w:before="0" w:after="0"/>
        <w:ind w:left="0" w:right="0" w:firstLine="48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or officer derives an improper personal benefit;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by directors;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or officer’s duty of loyalty to the corporation or its stockholders.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officers and directors, then the liability of our officers and directors will be eliminated or limited to the fullest extent permitted by the DGCL, as so amended.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us to indemnify and advance expenses, to the fullest extent permitted by applicable law, to our directors, officers and agents. We maintain a directors’ and officers’ insurance policy pursuant to which our directors and officers are insured against liability for actions taken in their capacities as directors and officers. Finally, our Charter will prohibit any retroactive changes to the rights or protections or increasing the liability of any officer or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separate indemnification agreements with our directors and executive officers.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our Charter and Bylaws are necessary to attract and retain qualified persons as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 for Employees,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adopted a Code of Conduct, applicable to all of our employees, executive officers and directors. The Code of Conduct is available on our website at </w:t>
      </w:r>
      <w:r>
        <w:rPr>
          <w:rFonts w:ascii="Times New Roman;Times;Serif" w:hAnsi="Times New Roman;Times;Serif"/>
          <w:b w:val="false"/>
          <w:i/>
          <w:caps w:val="false"/>
          <w:smallCaps w:val="false"/>
          <w:sz w:val="20"/>
        </w:rPr>
        <w:t>https://www.silvia.com/</w:t>
      </w:r>
      <w:r>
        <w:rPr>
          <w:rFonts w:ascii="Times New Roman;Times;Serif" w:hAnsi="Times New Roman;Times;Serif"/>
          <w:b w:val="false"/>
          <w:i w:val="false"/>
          <w:caps w:val="false"/>
          <w:smallCaps w:val="false"/>
          <w:sz w:val="20"/>
        </w:rPr>
        <w:t>. Information contained on or accessible through our website is not a part of this prospectus, and the inclusion of our website address in this prospectus is an inactive textual reference only. The Governance Committee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their service on the Board, each director receives a director fee equal to $100,000, payable in quarterly installments, in accordance with our standard director payment practices and procedures as in effect from time to time. The Board periodically reviews director compensation periodically to ensure that director compensation remains competitive such that we are able to recruit and retain qualified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director will be eligible to receive an annual grant of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The number of RSUs under the annual grant will be determined by dividing $166,667 by the closing trading price of Common Stock on the date of grant. The RSUs are subject to performance-based vesting upon satisfaction of certain specified Common Stock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reimburse directors for reasonable and necessary out-of-pocket business expenses incurred in connection with attending board and committee meetings or performing other services in their capacities as directors, and we intend to grant equity awards to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clawback policy (the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xml:space="preserve">”) designed to comply with Section 10D of the Exchange Act, the rules promulgated thereunder, and the listing standards of Nasdaq. The Clawback Policy is available on our website at </w:t>
      </w:r>
      <w:r>
        <w:rPr>
          <w:rFonts w:ascii="Times New Roman;Times;Serif" w:hAnsi="Times New Roman;Times;Serif"/>
          <w:b w:val="false"/>
          <w:i/>
          <w:caps w:val="false"/>
          <w:smallCaps w:val="false"/>
          <w:sz w:val="20"/>
        </w:rPr>
        <w:t>https://www.silvia.com/</w:t>
      </w:r>
      <w:r>
        <w:rPr>
          <w:rFonts w:ascii="Times New Roman;Times;Serif" w:hAnsi="Times New Roman;Times;Serif"/>
          <w:b w:val="false"/>
          <w:i w:val="false"/>
          <w:caps w:val="false"/>
          <w:smallCaps w:val="false"/>
          <w:sz w:val="20"/>
        </w:rPr>
        <w:t>. The Clawback Policy provides for the recoupment of certain executive compensation in the event that we are required to prepare an accounting restatement of our financial statements due to material noncompliance with any financial reporting requirement under the federal securities laws. The Compensation Committee administers the Clawback Policy, and any determinations made by our Compensation Committee will be final and binding on all affected individuals. The Clawback Policy applies to our current and former executive officers (as determined by the Compensation Committee in accordance with Section 10D of the Exchange Act, the rules promulgated thereunder, and the listing standards of Nasdaq) and such other senior executives or employees who may from time to time be deemed subject to the Clawback Policy by the Compensation Committee.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BP_013"/>
      <w:bookmarkEnd w:id="14"/>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to the individuals identified as named executive officers (“NEOs”) in the Summary Compensation Table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2025 and, therefore, did not have executive compensation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by us during the 2025 fiscal year to our named executive officers.</w:t>
      </w:r>
    </w:p>
    <w:p>
      <w:pPr>
        <w:pStyle w:val="TextBody"/>
        <w:bidi w:val="0"/>
        <w:spacing w:before="0" w:after="0"/>
        <w:ind w:left="0" w:right="0" w:firstLine="720"/>
        <w:jc w:val="both"/>
        <w:rPr>
          <w:caps w:val="false"/>
          <w:smallCaps w:val="false"/>
        </w:rPr>
      </w:pPr>
      <w:r>
        <w:rPr>
          <w:caps w:val="false"/>
          <w:smallCaps w:val="false"/>
        </w:rPr>
        <w:t> </w:t>
      </w:r>
    </w:p>
    <w:tbl>
      <w:tblPr>
        <w:tblW w:w="11240" w:type="dxa"/>
        <w:jc w:val="left"/>
        <w:tblInd w:w="0" w:type="dxa"/>
        <w:tblLayout w:type="fixed"/>
        <w:tblCellMar>
          <w:top w:w="0" w:type="dxa"/>
          <w:left w:w="0" w:type="dxa"/>
          <w:bottom w:w="28" w:type="dxa"/>
          <w:right w:w="0" w:type="dxa"/>
        </w:tblCellMar>
      </w:tblPr>
      <w:tblGrid>
        <w:gridCol w:w="965"/>
        <w:gridCol w:w="60"/>
        <w:gridCol w:w="530"/>
        <w:gridCol w:w="60"/>
        <w:gridCol w:w="60"/>
        <w:gridCol w:w="800"/>
        <w:gridCol w:w="60"/>
        <w:gridCol w:w="60"/>
        <w:gridCol w:w="60"/>
        <w:gridCol w:w="800"/>
        <w:gridCol w:w="60"/>
        <w:gridCol w:w="60"/>
        <w:gridCol w:w="321"/>
        <w:gridCol w:w="509"/>
        <w:gridCol w:w="60"/>
        <w:gridCol w:w="60"/>
        <w:gridCol w:w="321"/>
        <w:gridCol w:w="509"/>
        <w:gridCol w:w="60"/>
        <w:gridCol w:w="60"/>
        <w:gridCol w:w="576"/>
        <w:gridCol w:w="914"/>
        <w:gridCol w:w="60"/>
        <w:gridCol w:w="60"/>
        <w:gridCol w:w="576"/>
        <w:gridCol w:w="914"/>
        <w:gridCol w:w="60"/>
        <w:gridCol w:w="60"/>
        <w:gridCol w:w="144"/>
        <w:gridCol w:w="1346"/>
        <w:gridCol w:w="60"/>
        <w:gridCol w:w="60"/>
        <w:gridCol w:w="60"/>
        <w:gridCol w:w="800"/>
        <w:gridCol w:w="75"/>
      </w:tblGrid>
      <w:tr>
        <w:trPr/>
        <w:tc>
          <w:tcPr>
            <w:tcW w:w="965"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Salary</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Bonus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jc w:val="center"/>
              <w:rPr>
                <w:b/>
              </w:rPr>
            </w:pPr>
            <w:r>
              <w:rPr>
                <w:b/>
              </w:rPr>
              <w:t>Stock Awards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jc w:val="center"/>
              <w:rPr>
                <w:b/>
              </w:rPr>
            </w:pPr>
            <w:r>
              <w:rPr>
                <w:b/>
              </w:rPr>
              <w:t>Option Awards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b/>
              </w:rPr>
            </w:pPr>
            <w:r>
              <w:rPr>
                <w:b/>
              </w:rPr>
              <w:t>Non-Equity Incentive Plan Compensation</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b/>
              </w:rPr>
            </w:pPr>
            <w:r>
              <w:rPr>
                <w:b/>
              </w:rPr>
              <w:t>Nonqualified Deferred Compensation Earnings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b/>
              </w:rPr>
            </w:pPr>
            <w:r>
              <w:rPr>
                <w:b/>
              </w:rPr>
              <w:t>All Other Compensation</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Total</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Anthony Pompliano, CEO</w:t>
            </w:r>
            <w:r>
              <w:rPr>
                <w:rFonts w:ascii="Times New Roman;Times;Serif" w:hAnsi="Times New Roman;Times;Serif"/>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Renae Cormier, CFO</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83,333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Megan Pacchia, COO</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236,364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836,364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Jeffrey Park, CIO</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289,015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3,603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592,618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Pompliano was appointed CEO of Legacy ProCap on October 17, 2025 and was paid less than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Ms. Cormier was appointed CFO of Silvia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Ms. Pacchia was appointed COO of Legacy ProCap on August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Park was appointed as the CIO of Legacy ProCap on July 25, 2025. Mr. Park resigned as CIO of Silvia on April 3, 2026. Actual cash bonus paid was $106,667. The amount included in “All Other Compensation” includes $3,603 in health insurance premiums paid on behalf of Mr. Park.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health insurance benefits for our employees, including our executive officers. The Company does not have pension, annuity, profit sharing or similar benefit plans at this time, but the Company may decide to enact such plans in the future.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Mesdames Cormier and Pacchia was $700,000 per year and $800,000 per year, respectively, and for Messrs. Pompliano and Park was $1 per year and $700,000 per year,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Ms. Cormier and Mr. Park are eligible for an annual bonus opportunity with a target amount equal to $300,000, subject to approval of the Compensation Committee in its sole discretion. Ms. Pacchia is eligible for an annual cash retention bonus opportunity equal to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were granted to our named executive officers during the fiscal year ended December 31, 2025. As of December 31, 2025, there were 8,220,000 restricted stock units outstanding under the Incentive Plan. For a description of the awards outstanding under the Incentive Plan, and of award activity under the Incentive Plan following December 31, 2025, see “—Incentive Plan and Equity Awards”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Agreements. </w:t>
      </w:r>
      <w:r>
        <w:rPr>
          <w:rFonts w:ascii="Times New Roman;Times;Serif" w:hAnsi="Times New Roman;Times;Serif"/>
          <w:b w:val="false"/>
          <w:i w:val="false"/>
          <w:caps w:val="false"/>
          <w:smallCaps w:val="false"/>
          <w:sz w:val="20"/>
        </w:rPr>
        <w:t>We have entered into employment agreements with our Chief Executive Officer, Chief Financial Officer, Chief Operating Officer, Chief Legal Officer and Chief Technology Officer, and we previously entered into an employment agreement with our former Chief Investment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Mr. Pompliano. </w:t>
      </w:r>
      <w:r>
        <w:rPr>
          <w:rFonts w:ascii="Times New Roman;Times;Serif" w:hAnsi="Times New Roman;Times;Serif"/>
          <w:b w:val="false"/>
          <w:i w:val="false"/>
          <w:caps w:val="false"/>
          <w:smallCaps w:val="false"/>
          <w:sz w:val="20"/>
        </w:rPr>
        <w:t>On October 17, 2025, Legacy ProCap entered into an employment agreement with Mr. Pompliano setting forth the terms and conditions of his employment with us. The employment agreement provides for Mr. Pompliano to serve as our Chief Executive Officer. Under the terms of his employment agreement, Mr. Pompliano’s initial base salary is $1, subject to review and adjustment from time to time. Mr. Pompliano is also eligible to receive a grant of 8,000,000 time-based and performance-based restricted stock units, which vest upon the achievement of certain share price vesting conditions, subject to approval by the Board (or its compensation committee), vesting conditions established by the Board (or its compensation committee) and other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Ms. Cormier. </w:t>
      </w:r>
      <w:r>
        <w:rPr>
          <w:rFonts w:ascii="Times New Roman;Times;Serif" w:hAnsi="Times New Roman;Times;Serif"/>
          <w:b w:val="false"/>
          <w:i w:val="false"/>
          <w:caps w:val="false"/>
          <w:smallCaps w:val="false"/>
          <w:sz w:val="20"/>
        </w:rPr>
        <w:t>On October 15, 2025, Legacy ProCap entered into an employment agreement with Ms. Cormier setting forth the terms and conditions of her employment with us. The employment agreement provides for Ms. Cormier to serve as our Chief Financial Officer commencing December 1, 2025. Under the terms of her employment agreement, Ms. Cormier’s initial base salary is $700,000, subject to review and adjustment from time to time. Ms. Cormier is also eligible for an annual bonus opportunity with a target amount equal to $300,000, prorated for the initial year of employment, subject to approval of the Compensation Committee in its sole discretion, and annual grants of time-based and/or performance-based restricted stock units with a grant date fair value equal to $1,650,000, subject to approval by the Board (or its compensation committee), vesting conditions established by the Board (or its compensation committee) and other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Ms. Pacchia. </w:t>
      </w:r>
      <w:r>
        <w:rPr>
          <w:rFonts w:ascii="Times New Roman;Times;Serif" w:hAnsi="Times New Roman;Times;Serif"/>
          <w:b w:val="false"/>
          <w:i w:val="false"/>
          <w:caps w:val="false"/>
          <w:smallCaps w:val="false"/>
          <w:sz w:val="20"/>
        </w:rPr>
        <w:t>On August 25, 2025, Legacy ProCap entered into an employment agreement with Ms. Pacchia setting forth the terms and conditions of her employment with us. The employment agreement provides for Ms. Pacchia to serve as our Chief Operating Officer. Under the terms of her employment agreement, Ms. Pacchia’s initial base salary is $800,000, subject to review and adjustment from time to time. Ms. Pacchia is also eligible for an annual cash retention bonus opportunity equal to $600,000, and annual grants of 220,000 time-based restricted stock units, for four years, subject to vesting conditions and other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Mr. Park. </w:t>
      </w:r>
      <w:r>
        <w:rPr>
          <w:rFonts w:ascii="Times New Roman;Times;Serif" w:hAnsi="Times New Roman;Times;Serif"/>
          <w:b w:val="false"/>
          <w:i w:val="false"/>
          <w:caps w:val="false"/>
          <w:smallCaps w:val="false"/>
          <w:sz w:val="20"/>
        </w:rPr>
        <w:t>On July 25, 2025, Legacy ProCap entered into an employment agreement with Mr. Park setting forth the terms and conditions of his employment with us. The employment agreement provides for Mr. Park to serve as our Chief Investment Officer. Under the terms of his employment agreement, Mr. Park’s initial base salary is $700,000, subject to review and adjustment from time to time. Mr. Park is also eligible for an annual bonus opportunity with a target amount equal to $300,000, subject to approval of the Compensation Committee in its sole discretion, and annual grants of time-based and/or performance-based restricted stock units in an amount equal to 400,000 restricted stock units, for four years, subject to approval by the Board (or its compensation committee), vesting conditions established by the Board (or its compensation committee) and other conditions. Mr. Park resigned as our Chief Investment Officer effective April 3, 2026.</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Mr. Pompliano provides that in the event he terminates his employment for “good reason” or we terminate his employment without “cause” (in each case defined in his employment agreement), he is entitled to receive the following benefits, in addition to any accrued obligations and subject to his execution of a general release of claims in our favor and obligations regarding solicitation, return of property, and restrictive covenants, non-solicitation of customers, non-solicitation of employees, non-disparagement and the expiration of any applicable expiration period with respect to the release: (i) any base salary earned through the date of termination; (ii) unpaid expense reimbursement in accordance with our policy; (iii) unused vacation and sick leave that accrued through the date of termination in accordance with our policy; and (iv) a $10,000,000 cash payment. The amounts payable will be paid out in substantially equal installments in accordance with our payroll practice commencing on the first regularly scheduled payroll date following the effective date of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Ms. Cormier provides that in the event she terminates her employment for “good reason” or we terminate her employment without “cause” (in each case defined in her employment agreement), she is entitled to receive the following benefits, in addition to any accrued obligations and subject to her execution of a general release of claims in our favor and obligations regarding solicitation, return of property, restrictive covenants, non-solicitation of customers, non-solicitation of employees, non-disparagement and the expiration of any applicable expiration period with respect to the release: (i) any base salary earned through the date of termination; (ii) unpaid expense reimbursement in accordance with our policy; (iii) unused vacation and sick leave that accrued through the date of termination in accordance with our policy; (iv) six months of base salary; and (v) continued time-vesting of any unvested restricted stock units for six months following the date of termination (provided that, for any performance-based awards, any applicable performance metrics are satisfied). The amounts payable will be paid out in substantially equal installments in accordance with our payroll practice commencing on the first regularly scheduled payroll date following the effective date of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Mr. Park provides that in the event he terminates his employment for “good reason” or we terminate his employment without “cause” (in each case defined in his employment agreement), he is entitled to receive the following benefits, in addition to any accrued obligations and subject to his execution of a general release of claims in our favor and obligations regarding solicitation, return of property, restrictive covenants, non-solicitation of customers, non-solicitation of employees, non-disparagement and the expiration of any applicable expiration period with respect to the release: (i) any base salary earned through the date of termination; (ii) unpaid expense reimbursement in accordance with our policy; (iii) unused vacation and sick leave that accrued through the date of termination in accordance with our policy; (iv) six months of base salary; (v) continued time-vesting of any unvested restricted stock units for six months following the date of termination; provided, however, that if he terminates for “good reason” or is terminated by us for “cause” within six months following a change in control (in each case defined in his employment agreement), all unvested time-based restricted stock units accelerate and vest in full; and (vi) COBRA continuation coverage costs for up to six months, subject to conditions. The amounts payable will be paid out in substantially equal installments in accordance with our payroll practice commencing on the first regularly scheduled payroll date following the effective date of the release. For a description of the separation agreement we entered into with Mr. Park in connection with his resignation, see “—Separation Agreement with Mr. Park”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Ms. Pacchia provides that in the event she terminates her employment for “good reason” or we terminate her employment without “cause” (in each case defined in her employment agreement), she is entitled to receive the following benefits, in addition to any accrued obligations and subject to her execution of a general release of claims in our favor and obligations regarding solicitation, return of property, and restrictive covenants, non-solicitation of customers, non-solicitation of employees, non-disparagement and the expiration of any applicable expiration period with respect to the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one-year period from her September 15, 2025 start date until the first anniversary thereof (the “Initial Term”), (i) base salary continuation for the greater of the six (6) month period following the date of termination or the number of months remaining in the Initial Term (the greater of such periods, the “Tail Period”); (ii) continued eligibility for an annual cash retention bonus and a pro-rated portion of the annual cash retention bonus for a period of time equal to the Tail Period; (iii) continued time-vesting of any unvested restricted stock units for a period of time equal to the Tail Period; (iv) any base salary earned through the date of termination; (v) unpaid expense reimbursement in accordance with our policy; and (vi) unused vacation and sick leave that accrued through the date of termination in accordance with our policy. The amounts payable will be paid out in substantially equal installments in accordance with our payroll practice commencing on the first regularly scheduled payroll date following the effective date of the release; or</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Initial Term, (i) any base salary earned through the date of termination; (ii) unpaid expense reimbursement in accordance with our policy; (iii) unused vacation and sick leave that accrued through the date of termination in accordance with our policy; (iv) six months of base salary; and (v) continued time-vesting of any unvested restricted stock units for six months following the date of termination. The amounts payable will be paid out in substantially equal installments in accordance with our payroll practice commencing on the first regularly scheduled payroll date following the effective date of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executive voluntarily resigns other than for “good reason” or the executive’s employment is terminated by us for “cause,” such executive will be entitled to (i) any base salary earned through the date of termination; (ii) unpaid expense reimbursement in accordance with our policy; and (iii) unused vacation and sick leave that accrued through the date of termination in accordance with our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executive’s employment agreement defines “cause” to mean the occurrence of any one or more of the following subject to certain notice and cure rights: (i) willful misconduct, gross negligence, or material failure to perform the duties and responsibilities of his position; (ii) violation of any policy(ies); (iii) commission of, or participation in, any act of fraud, dishonesty, embezzlement, misappropriation, or other act of material misconduct with respect to the Company; (iv) indictment for, conviction of, or plea of guilty or nolo contender to a felony or any crime involving moral turpitude, dishonesty, or theft; (v) material breach of his employment agreement or any other written agreement with the Company or breach of any fiduciary duty owed to the Company; or (vi) unauthorized use or disclosure of any confidential or proprietary information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Pompliano’s employment agreement defines “good reason” to mean the occurrence of any one or more of the following without his consent and subject to certain notice and cure rights: (i) a material diminution in authority, duties or responsibilities (other than during a suspension or investigation of grounds that may constitute cause); or (ii) a required relocation of his primary work location to a facility or location that would increase his one way commute distance by more than twenty five miles.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Park’s and Ms. Cormier’s employment agreements define “good reason” to mean the occurrence of any one or more of the following subject to certain notice and cure rights: (i) a material diminution in their base salary; (ii) a material diminution in their authority, duties, or responsibilities; or (iii) a required relocation of their primary work location to a facility or location that would increase their one way commute distance by more than twenty five miles.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Pacchia’s employment agreement defines “good reason” to mean the occurrence of any one or more of the following without her consent: (i) a material reduction in base salary by more than ten percent (10%); (ii) a material diminution in job title; or (iii) a material change in the geographic location of her work facility or location that is requested or initiated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Park’s employment agreement defines “change in control” to mean and include each of the following: (i) a transaction or series of transactions (other than an offering of common stock to the general public) whereby any person or related group of persons (as such terms are used in Sections 13(d) and 14(d)(2) of the Exchange Act) directly or indirectly acquires beneficial ownership of securities of Silvia possessing more than fifty percent (50%) of the total combined voting power of Silvia’s securities outstanding immediately after such acquisition (except for certain acquisitions that are expressly excluded); (ii) the incumbent directors cease for any reason to constitute a majority of the Board; (iii) the consummation by Silvia (whether directly or indirectly) of (x) a merger, consolidation, reorganization, or business combination, (y) a sale or other disposition of all or substantially all of Silvia’s assets in any single transaction or series of related transactions, or (z) the acquisition of assets or stock of another entity, in each case other than certain transactions that are expressly excluded; or (iv) the date which is ten (10) business days prior to the completion of a liquidation or dissolution of Silvia.</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 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for our named executive officers as of the fiscal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92"/>
        <w:gridCol w:w="60"/>
        <w:gridCol w:w="297"/>
        <w:gridCol w:w="471"/>
        <w:gridCol w:w="60"/>
        <w:gridCol w:w="60"/>
        <w:gridCol w:w="1130"/>
        <w:gridCol w:w="1791"/>
        <w:gridCol w:w="60"/>
        <w:gridCol w:w="60"/>
        <w:gridCol w:w="1204"/>
        <w:gridCol w:w="1911"/>
        <w:gridCol w:w="60"/>
        <w:gridCol w:w="60"/>
        <w:gridCol w:w="429"/>
        <w:gridCol w:w="681"/>
        <w:gridCol w:w="79"/>
      </w:tblGrid>
      <w:tr>
        <w:trPr/>
        <w:tc>
          <w:tcPr>
            <w:tcW w:w="1792"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center"/>
              <w:rPr/>
            </w:pPr>
            <w:r>
              <w:rPr/>
              <w:t> </w:t>
            </w:r>
          </w:p>
        </w:tc>
        <w:tc>
          <w:tcPr>
            <w:tcW w:w="76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 Date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2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RSUs (#) 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RSUs (#) Unexercisable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c>
          <w:tcPr>
            <w:tcW w:w="79" w:type="dxa"/>
            <w:tcBorders/>
            <w:tcMar>
              <w:bottom w:w="0" w:type="dxa"/>
            </w:tcMar>
            <w:vAlign w:val="center"/>
          </w:tcPr>
          <w:p>
            <w:pPr>
              <w:pStyle w:val="TableContents"/>
              <w:bidi w:val="0"/>
              <w:spacing w:before="0" w:after="283"/>
              <w:jc w:val="center"/>
              <w:rPr/>
            </w:pPr>
            <w:r>
              <w:rPr/>
              <w:t> </w:t>
            </w:r>
          </w:p>
        </w:tc>
      </w:tr>
      <w:tr>
        <w:trPr/>
        <w:tc>
          <w:tcPr>
            <w:tcW w:w="17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7" w:type="dxa"/>
            <w:tcBorders/>
            <w:tcMar>
              <w:bottom w:w="0" w:type="dxa"/>
            </w:tcMar>
            <w:vAlign w:val="center"/>
          </w:tcPr>
          <w:p>
            <w:pPr>
              <w:pStyle w:val="TableContents"/>
              <w:bidi w:val="0"/>
              <w:spacing w:before="0" w:after="283"/>
              <w:jc w:val="left"/>
              <w:rPr/>
            </w:pPr>
            <w:r>
              <w:rPr/>
              <w:t> </w:t>
            </w:r>
          </w:p>
        </w:tc>
        <w:tc>
          <w:tcPr>
            <w:tcW w:w="47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c>
          <w:tcPr>
            <w:tcW w:w="191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9" w:type="dxa"/>
            <w:tcBorders/>
            <w:tcMar>
              <w:bottom w:w="0" w:type="dxa"/>
            </w:tcMar>
            <w:vAlign w:val="center"/>
          </w:tcPr>
          <w:p>
            <w:pPr>
              <w:pStyle w:val="TableContents"/>
              <w:bidi w:val="0"/>
              <w:spacing w:before="0" w:after="283"/>
              <w:jc w:val="left"/>
              <w:rPr/>
            </w:pPr>
            <w:r>
              <w:rPr/>
              <w:t> </w:t>
            </w:r>
          </w:p>
        </w:tc>
        <w:tc>
          <w:tcPr>
            <w:tcW w:w="681" w:type="dxa"/>
            <w:tcBorders/>
            <w:tcMar>
              <w:bottom w:w="0" w:type="dxa"/>
            </w:tcMar>
            <w:vAlign w:val="center"/>
          </w:tcPr>
          <w:p>
            <w:pPr>
              <w:pStyle w:val="TableContents"/>
              <w:bidi w:val="0"/>
              <w:spacing w:before="0" w:after="283"/>
              <w:jc w:val="right"/>
              <w:rPr/>
            </w:pPr>
            <w:r>
              <w:rPr/>
              <w:t> </w:t>
            </w:r>
          </w:p>
        </w:tc>
        <w:tc>
          <w:tcPr>
            <w:tcW w:w="79" w:type="dxa"/>
            <w:tcBorders/>
            <w:tcMar>
              <w:bottom w:w="0" w:type="dxa"/>
            </w:tcMar>
            <w:vAlign w:val="center"/>
          </w:tcPr>
          <w:p>
            <w:pPr>
              <w:pStyle w:val="TableContents"/>
              <w:bidi w:val="0"/>
              <w:spacing w:before="0" w:after="283"/>
              <w:jc w:val="left"/>
              <w:rPr/>
            </w:pPr>
            <w:r>
              <w:rPr/>
              <w:t> </w:t>
            </w:r>
          </w:p>
        </w:tc>
      </w:tr>
      <w:tr>
        <w:trPr/>
        <w:tc>
          <w:tcPr>
            <w:tcW w:w="1792" w:type="dxa"/>
            <w:tcBorders/>
            <w:shd w:fill="CCEEFF" w:val="clear"/>
            <w:tcMar>
              <w:bottom w:w="0" w:type="dxa"/>
            </w:tcMar>
            <w:vAlign w:val="center"/>
          </w:tcPr>
          <w:p>
            <w:pPr>
              <w:pStyle w:val="TableContents"/>
              <w:bidi w:val="0"/>
              <w:spacing w:before="0" w:after="283"/>
              <w:jc w:val="left"/>
              <w:rPr/>
            </w:pPr>
            <w:r>
              <w:rPr/>
              <w:t>Anthony Pompliano,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4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19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92" w:type="dxa"/>
            <w:tcBorders/>
            <w:shd w:fill="FFFFFF" w:val="clear"/>
            <w:tcMar>
              <w:bottom w:w="0" w:type="dxa"/>
            </w:tcMar>
            <w:vAlign w:val="center"/>
          </w:tcPr>
          <w:p>
            <w:pPr>
              <w:pStyle w:val="TableContents"/>
              <w:bidi w:val="0"/>
              <w:spacing w:before="0" w:after="283"/>
              <w:jc w:val="left"/>
              <w:rPr/>
            </w:pPr>
            <w:r>
              <w:rPr/>
              <w:t>Renae Cormier, CFO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4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left"/>
              <w:rPr/>
            </w:pPr>
            <w:r>
              <w:rPr/>
              <w:t> </w:t>
            </w:r>
          </w:p>
        </w:tc>
        <w:tc>
          <w:tcPr>
            <w:tcW w:w="17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1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792" w:type="dxa"/>
            <w:tcBorders/>
            <w:shd w:fill="CCEEFF" w:val="clear"/>
            <w:tcMar>
              <w:bottom w:w="0" w:type="dxa"/>
            </w:tcMar>
            <w:vAlign w:val="center"/>
          </w:tcPr>
          <w:p>
            <w:pPr>
              <w:pStyle w:val="TableContents"/>
              <w:bidi w:val="0"/>
              <w:spacing w:before="0" w:after="283"/>
              <w:jc w:val="left"/>
              <w:rPr/>
            </w:pPr>
            <w:r>
              <w:rPr/>
              <w:t>Megan Pacchia, COO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4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19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9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Park, CIO</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4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left"/>
              <w:rPr/>
            </w:pPr>
            <w:r>
              <w:rPr/>
              <w:t> </w:t>
            </w:r>
          </w:p>
        </w:tc>
        <w:tc>
          <w:tcPr>
            <w:tcW w:w="17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1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 equity awards have been granted to our named executive officers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Park’s employment agreement provides for enhanced severance (all unvested time-based restricted stock units accelerate and vest in full) if he terminates for “good reason” or we terminate his employment for “cause” within six months following a “change in control” (in each case defined in his employment agreement), which is summarized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Non-Executive 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play a critical role in guiding our strategic direction and overseeing the management of our Company. Ongoing developments in corporate governance and financial reporting have resulted in an increased demand for such highly qualified and productive public company directors. The many responsibilities and risks and the substantial time commitment of being a director of a public company require that we provide adequate incentives for our directors’ continued performance by paying compensation for their services. Our director compensation is overseen by the Compensation Committee, which makes recommendations to our Board on the appropriate structure for our director compensation program and the appropriate amount of compensation. Our Board is responsible for final approval of our director compensation program and the compensation paid to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a director compensation program under which each non-employee director is eligible to receive (i) an annual fee of $100,000, paid quarterly in accordance with our standard director payment practices and procedure; and (ii) annual performance-based restricted stock units with a grant date fair value equal to $166,667 that vest subject to the achievement of certain share price vesting conditions and continuous service.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earned and paid to each member of our Board for service as a director during the fiscal year ending 2025:</w:t>
      </w:r>
    </w:p>
    <w:p>
      <w:pPr>
        <w:pStyle w:val="TextBody"/>
        <w:bidi w:val="0"/>
        <w:spacing w:before="0" w:after="0"/>
        <w:ind w:left="0" w:right="0" w:firstLine="720"/>
        <w:jc w:val="both"/>
        <w:rPr>
          <w:caps w:val="false"/>
          <w:smallCaps w:val="false"/>
        </w:rPr>
      </w:pPr>
      <w:r>
        <w:rPr>
          <w:caps w:val="false"/>
          <w:smallCaps w:val="false"/>
        </w:rPr>
        <w:t> </w:t>
      </w:r>
    </w:p>
    <w:tbl>
      <w:tblPr>
        <w:tblW w:w="6470" w:type="dxa"/>
        <w:jc w:val="left"/>
        <w:tblInd w:w="0" w:type="dxa"/>
        <w:tblLayout w:type="fixed"/>
        <w:tblCellMar>
          <w:top w:w="0" w:type="dxa"/>
          <w:left w:w="0" w:type="dxa"/>
          <w:bottom w:w="28" w:type="dxa"/>
          <w:right w:w="0" w:type="dxa"/>
        </w:tblCellMar>
      </w:tblPr>
      <w:tblGrid>
        <w:gridCol w:w="1520"/>
        <w:gridCol w:w="60"/>
        <w:gridCol w:w="214"/>
        <w:gridCol w:w="856"/>
        <w:gridCol w:w="60"/>
        <w:gridCol w:w="60"/>
        <w:gridCol w:w="396"/>
        <w:gridCol w:w="269"/>
        <w:gridCol w:w="60"/>
        <w:gridCol w:w="60"/>
        <w:gridCol w:w="396"/>
        <w:gridCol w:w="269"/>
        <w:gridCol w:w="60"/>
        <w:gridCol w:w="60"/>
        <w:gridCol w:w="735"/>
        <w:gridCol w:w="500"/>
        <w:gridCol w:w="60"/>
        <w:gridCol w:w="60"/>
        <w:gridCol w:w="140"/>
        <w:gridCol w:w="560"/>
        <w:gridCol w:w="75"/>
      </w:tblGrid>
      <w:tr>
        <w:trPr/>
        <w:tc>
          <w:tcPr>
            <w:tcW w:w="152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00" w:type="dxa"/>
            <w:gridSpan w:val="2"/>
            <w:tcBorders>
              <w:bottom w:val="single" w:sz="8" w:space="0" w:color="000000"/>
            </w:tcBorders>
            <w:vAlign w:val="center"/>
          </w:tcPr>
          <w:p>
            <w:pPr>
              <w:pStyle w:val="TableContents"/>
              <w:bidi w:val="0"/>
              <w:jc w:val="center"/>
              <w:rPr>
                <w:b/>
              </w:rPr>
            </w:pPr>
            <w:r>
              <w:rPr>
                <w:b/>
              </w:rPr>
              <w:t>Total</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Bill Koutsouras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7,337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w:t>
            </w:r>
          </w:p>
        </w:tc>
        <w:tc>
          <w:tcPr>
            <w:tcW w:w="5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7,337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pPr>
            <w:r>
              <w:rPr/>
              <w:t>Gary Quin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7,337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w:t>
            </w:r>
          </w:p>
        </w:tc>
        <w:tc>
          <w:tcPr>
            <w:tcW w:w="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w:t>
            </w:r>
          </w:p>
        </w:tc>
        <w:tc>
          <w:tcPr>
            <w:tcW w:w="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left"/>
              <w:rPr/>
            </w:pPr>
            <w:r>
              <w:rPr/>
              <w:t>$</w:t>
            </w:r>
          </w:p>
        </w:tc>
        <w:tc>
          <w:tcPr>
            <w:tcW w:w="5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7,337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Eric Jackson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7,337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w:t>
            </w:r>
          </w:p>
        </w:tc>
        <w:tc>
          <w:tcPr>
            <w:tcW w:w="5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7,337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 performance-based equity awards have been granted to our Board directors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annual fees equal to $100,000 for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reimbursement for their reasonable travel and lodging expenses for attending Board and Board committee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Incentive Plan and Equity Awards. </w:t>
      </w:r>
      <w:r>
        <w:rPr>
          <w:rFonts w:ascii="Times New Roman;Times;Serif" w:hAnsi="Times New Roman;Times;Serif"/>
          <w:b w:val="false"/>
          <w:i w:val="false"/>
          <w:caps w:val="false"/>
          <w:smallCaps w:val="false"/>
          <w:sz w:val="20"/>
        </w:rPr>
        <w:t>On October 29, 2025, prior to the Closing of the Business Combination, the Board adopted, and our stockholders approved, the Company’s 2025 Equity Incentive Plan (the “Incentive Plan”), a long-term stock incentive plan for selected participants under which we may grant options and stock appreciation rights, performance stock, performance stock units, restricted stock and restricted stock units to employees, consultants and non-employee directors. We granted equity awards under the Incentive Plan to our executive officers in accordance with the terms of their respective employment agreements and the Incentive Plan. In addition, we awarded members of our Board equity awards under the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originally adopted, the aggregate number of shares of Common Stock that may be issued or transferred under the Incentive Plan is equal to the sum of (i) 10% of the shares of Common Stock outstanding following the Closing of the Business Combination and (ii) an annual increase on the first day of each year beginning in 2026 and ending in and including 2035 equal to the lesser of (A) 5% of the shares of Common Stock outstanding on the last day of the immediately preceding fiscal year and (B) such smaller number of shares as is determined by the Board or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annual meeting of stockholders held on March 27, 2026, our stockholders approved an amendment to the Incentive Plan increasing the number of shares of Common Stock authorized for issuance thereunder, in order to enable us to continue to grant equity compensation awards to current and future employees in accordance with our compensation practices. Following that approval, the aggregate share reserve under the Incentive Plan is 24,733,020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shares of Common Stock issuable under the Incentive Plan have been registered on registration statements on Form S-8. We registered the offer and sale of 12,733,020 shares of Common Stock on a registration statement on Form S-8 (File No. 333-293165) filed with the SEC on February 3, 2026 and, following stockholder approval of the amendment to the Incentive Plan, the offer and sale of an additional 12,000,000 shares of Common Stock on a registration statement on Form S-8 filed with the SEC on May 18, 2026. The shares of Common Stock covered by those registration statements on Form S-8 are separate from, and are not included in, the shares of Common Stock offered by the Selling Securityholders or the shares of Common Stock issuable upon exercise of the Warrants covered by this prospectus, and no shares of Common Stock issuable under the Incentive Plan are covered by the registration statement of which this prospectus forms a part.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8,220,000 restricted stock units outstanding under the Incentive Plan. During the six months ended June 30, 2026, we granted an aggregate of 3,353,832 time-based restricted stock units under the Incentive Plan to certain employees and service providers, with an aggregate grant-date fair value of $7.7 million and a weighted average grant-date fair value of $2.27 per share, and 1,454,365 time-based restricted stock units vested. As of June 30, 2026, 1,917,980 time-based restricted stock units were unvested and outstanding under the Incentive Plan, and unrecognized compensation cost related to those awards was $3.5 million, which is expected to be recognized over a weighted average remaining period of 1.2 years. In addition, in connection with the CFO Silvia Acquisition we granted Mr. Noor the right to receive up to 4,356,450 shares of Common Stock, subject both to his continued service and to a market condition requiring our Common Stock to achieve a trading price of $9.00 per share and, as of June 30, 2026, 12,356,450 market-based restricted stock units were unvested and outstanding, the market condition had not been satisfied and no shares subject to that award had vested. For the three and six months ended June 30, 2026, we recognized share-based compensation expense of approximately $2.0 million and $4.2 million, respectively, in respect of time-based restricted stock units and approximately $1.7 million and $3.1 million, respectively, in respect of market-based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 Grant Policies and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402(x) of Regulation S-K, our policy on a go-forward basis will be to grant equity awards, including stock options and stock appreciation rights, at times that are not proximate to the release of material nonpublic information. The Compensation Committee intends to schedule meetings to approve equity awards in advance and without regard to the timing of the release of earnings or other material nonpublic information. We do not intend to time the granting of equity awards to take advantage of any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awards ultimately are granted at a time when we are in possession of material nonpublic information, such awards will only be made after careful consideration is given by the Compensation Committee, and the good-faith rationale and legitimate business reasons for the timing of making the award are documented in the Compensation Committee’s minutes. We do not intend to have a practice of coordinating the timing of equity award grants with the release of material nonpublic information, and any such coincidence would be incidental.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all stock options and stock appreciation rights shall be set at the closing price of our Common Stock on the date of grant, which is the date the Compensation Committee approves the award. We do not and will not have a policy or practice of retroactively selecting grant dates or of granting equity awards with exercise prices that are based on a date other than the actual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shall indemnify any and all of its directors, officers, former directors, former officers and any person who may have served at its request as a director or officer of another company in which it owns shares or of which it is a creditor, who were or are made a party or are threatened to be made a party to or are involved in, any threatened, pending or completed action, suit or proceeding, whether civil, criminal, administrative, arbitrative or investigative (each a “Proceeding”), or any appeal in such a Proceeding or any inquiry or investigation that could lead to such a Proceeding, against any and all liabilities, damages, reasonable and documented expenses (including reasonably incurred and substantiated attorneys’ fees), financial effects of judgments, fines, penalties (including excise and similar taxes and punitive damages) and amounts paid in settlement in connection with such Proceeding by any of them. Such indemnification shall not be deemed exclusive of any other rights to which those indemnified may be entitled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If a claim for indemnification against such liabilities (other than the payment by us of expenses incurred or paid by a director, officer or controlling person of our Company in the successful defense of any action, suit or proceeding) is asserted by any of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that issue.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BP_014"/>
      <w:bookmarkEnd w:id="15"/>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1% of the average of our total assets at year-end for the last two completed fiscal years and in which any of our directors, nominees for director, executive officers, beneficial owners of more than 5% of any class of our voting securities, or any member of the immediate family of any of the foregoing persons,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transactions between us and any of our directors or executives or with a third party in which one of our officers, directors or significant stockholders has an interest can present potential or actual conflicts of interest and create the appearance that our decisions are based on considerations other than the best interests of our Company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is charged with responsibility for reviewing, approving and overseeing any transaction between the Company and any related person (as defined in Item 404 of Regulation S-K), including the propriety and ethical implications of any such transactions, as reported or disclosed to the audit committee by the independent auditors, employees, officers, members of the Board or otherwise, and to determine whether the terms of the transaction are not less favorable to us than could be obtained from an unaffiliated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engage in transactions with related parties. The following is a summary of the related party transactions since January 1, 2024 requiring disclosure pursuant to Item 404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the Business Combination, pursuant to which SPAC Merger Sub merged with and into CCCM, with CCCM continuing as the surviving entity, and Company Merger Sub merged with and into Legacy ProCap, with Legacy ProCap continuing as the surviving company; as a result, CCCM and Legacy ProCap became our wholly-owned subsidiaries and we became a publicly traded company. At the Closing, Professional Capital Management and Jeffrey Park received 10,562,500 and 500,000 shares of Common Stock, respectively, in exchange for their respective equity interests in Legacy ProCap.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Non-Competition and Non-Solicitation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Anthony Pompliano entered into with CCCM, Legacy ProCap, and us a non-competition and non-solicitation agreement (the “Non-Competition Agreement”), pursuant to which, until the earlier of (i) the date that is eighteen (18) months following the date of the Closing and (ii) the date that is six (6) months after such date on which Mr. Pompliano ceases to be a Control Person of Legacy ProCap or the Company, Mr. Pompliano will not, directly or indirectly, become a Control Person of a public company with a primary portion of its business comprised of pursuing a Bitcoin treasury strategy program. For purposes of the Non-Competition Agreement, “Control Person” shall mean (x) the chairman of a board of directors, chief executive officer or president, or (y) the owner of such equity interests or right to acquire equity interests of a person which entitles the holder thereof to the ability to manage or control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 with Mr. Anthony Pompliano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subscription agreement, dated June 17, 2025, by and between Mr. Pompliano and the Company, Mr. Pompliano subscribed to purchase one share of our Common Stock for $0.001.</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we, CCCM’s sponsor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CCCM, and the holders of common units entered into an amended and restated registration rights agreement, which added us as a party and covers the resale of the shares of our Common Stock held by Sponsor, Professional Capital Management, and certain ProCap Holders (the “</w:t>
      </w:r>
      <w:r>
        <w:rPr>
          <w:rFonts w:ascii="Times New Roman;Times;Serif" w:hAnsi="Times New Roman;Times;Serif"/>
          <w:b w:val="false"/>
          <w:i w:val="false"/>
          <w:caps w:val="false"/>
          <w:smallCaps w:val="false"/>
          <w:sz w:val="20"/>
          <w:u w:val="single"/>
        </w:rPr>
        <w:t>Amended and Restated Registration Rights Agreement</w:t>
      </w:r>
      <w:r>
        <w:rPr>
          <w:rFonts w:ascii="Times New Roman;Times;Serif" w:hAnsi="Times New Roman;Times;Serif"/>
          <w:b w:val="false"/>
          <w:i w:val="false"/>
          <w:caps w:val="false"/>
          <w:smallCaps w:val="false"/>
          <w:sz w:val="20"/>
        </w:rPr>
        <w:t>”), and which amends and restates the Registration Rights Agreement, dated as of May 15, 2025, by and among CCCM, the Sponsor and the underwriters in the CCCM initial public offering (the “</w:t>
      </w:r>
      <w:r>
        <w:rPr>
          <w:rFonts w:ascii="Times New Roman;Times;Serif" w:hAnsi="Times New Roman;Times;Serif"/>
          <w:b w:val="false"/>
          <w:i w:val="false"/>
          <w:caps w:val="false"/>
          <w:smallCaps w:val="false"/>
          <w:sz w:val="20"/>
          <w:u w:val="single"/>
        </w:rPr>
        <w:t>Founder Registration Rights Agreement</w:t>
      </w:r>
      <w:r>
        <w:rPr>
          <w:rFonts w:ascii="Times New Roman;Times;Serif" w:hAnsi="Times New Roman;Times;Serif"/>
          <w:b w:val="false"/>
          <w:i w:val="false"/>
          <w:caps w:val="false"/>
          <w:smallCaps w:val="false"/>
          <w:sz w:val="20"/>
        </w:rPr>
        <w:t>”), to, among other matters, have us assume the obligations of CCCM under the Founder Registration Rights Agreement and to provide the ProCap Holders party thereto with registration rights thereunder covering, among other securities, the shares of our Common Stock, which Amended and Restated Registration Rights Agreement will become effective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Consulting and Marketing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Professional Capital Management and Legacy ProCap entered into the Services Agreement. Pursuant to the Services Agreement, Professional Capital Management will provide certain investment consulting, marketing and advertising services pursuant to the statements of work. In consideration for such services, Legacy ProCap issued to Professional Capital Management 10,000,000 common units of Legacy ProCap, which subsequently transferred 500,000 common units to Jeffrey Park. The Services Agreement has a term of four (4) years following the effective date and will automatically renew for a subsequent one (1) year term, unless either party gives the other party at least sixty (60) days’ prior written notice of non-renewal or otherwise terminates the Services Agreement or any statement of work as set forth therein. The 10,000,000 common units issued under the Services Agreement were exchanged for an aggregate of 10,000,000 shares of our Common Stock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Letter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each of Legacy ProCap, CCCM, us and the directors and officers of CCCM named therein (the “Insiders”) executed and delivered an amendment (the “Insider Letter Amendment”) to the insider letter agreement between CCCM and the Insiders (the “Insider Letter”), pursuant to which, among other matters, effective as of the Closing, we assumed and were assigned the rights and obligations of CCCM under the Insider Letter. Pursuant to the Insider Letter, the Insiders agreed, among other things, to a lock-up and restrictions on their ability to transfer, assign, or sell the founder shares and private placement units and the securities underlying the private placement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Sublease with Professional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entered into a commercial sublease agreement with Professional Capital Management, pursuant to which we occupy office space on a month-to-month basis beginning October 1, 2025, terminable upon 60 days’ notice from either party to the other party, at a monthly rent of $19,600. For the period from June 17, 2025 (inception) through December 31, 2025, we recorded $58,800 of rent expense under the sublease.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CFO Silvia,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entered into an Agreement and Plan of Merger with Silvia Merger Sub, Inc., our wholly owned subsidiary, CFO Silvia, Inc., Professional Capital Management, Shain Noor and Mr. Noor, solely in his capacity as the stockholder representative. Professional Capital Management was a majority holder of CFO Silvia, Inc., and Anthony Pompliano, our Chief Executive Officer, is the Chief Executive Officer of Professional Capital Management. At our annual meeting of stockholders held on March 27, 2026, our stockholders approved, for purposes of Nasdaq Listing Rule 5635, the issuance of shares of Common Stock pursuant to that merger agreement, and we completed the acquisition on April 6, 2026. As a seller under that merger agreement, Professional Capital Management received a portion of the shares of Common Stock issued at the closing and of the shares of Common Stock deposited into escrow, and is entitled to a portion of the shares of Common Stock issuable as earnout consideration if the applicable trading price condition is satisfied. Prior to the acquisition, Inflection Points Inc. was the majority owner of CFO Silvia, Inc. and, as a selling stockholder in the acquisition, it received $14.0 million of the total acquisition consideration, consisting of $8.1 million of closing equity consideration and $5.9 million of contingent earnout consideration. The contingent earnout shares underlying that consideration are issuable upon the achievement of specified market-based conditions, including our Common Stock reaching a trading price at or above $9.00 per share. In addition, CFO Silvia, Inc. was party to two promissory notes payable to Inflection Points Inc., with an aggregate outstanding principal balance of $2.4 million as of the acquisition date. In connection with the acquisition, cash consideration of $1.4 million was used to repay one of those notes, and the remaining $1.0 million note was assumed by us and repaid following the acquisition. No amounts remained outstanding under those notes as of June 30, 2026. In connection with the closing, Professional Capital Management entered into a lock-up agreement with us and became a party to the registration rights agreement covering the resale of those shares. The offer and sale of the closing shares and the escrow shares were not registered under the Securities Act and were made in reliance on Section 4(a)(2) of the Securities Act, and none of those shares are offered by this prospectus. For a description of the merger consideration, see “Prospectus Summary—Recent Developments.”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Mr. Noor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our acquisition of CFO Silvia, Inc., we entered into an employment agreement with Shain Noor, effective as of April 6, 2026, pursuant to which Mr. Noor serves as our Chief Technology Officer, reporting to our Chief Executive Officer. The agreement provides for an annual base salary of $700,000, a one-time cash signing bonus of $5,000,000 payable within 90 days following his start date and subject to his continued employment through the payment date, and a target annual performance-based cash bonus of $300,000, subject to approval by the Compensation Committee. Mr. Noor is also eligible to receive annual restricted stock unit awards with an aggregate grant date fair market value of $1,000,000, with the number of restricted stock units determined by dividing that amount by the fair market value of a share of Common Stock on the grant date, vesting in equal installments over four quarters and subject to his continued employment. If we terminate Mr. Noor’s employment without cause, or if he resigns for good reason, he is entitled to six months of base salary continuation, six months of continued time-vesting of his equity awards and six months of COBRA premium payments, in each case subject to his execution of a release of claims. If any such termination or resignation occurs within six months following a change in control, all of his unvested time-based equity awards will accelerate and vest in full. Mr. Noor’s employment is at will, subject to 60 days’ prior written notice in the event of his voluntary resignation.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Mr. Kyle Wood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2025, Legacy ProCap entered into an employment agreement with Kyle Wood setting forth the terms and conditions of his employment with us. The employment agreement provides for Mr. Wood to serve as Legacy ProCap’s Chief Legal Officer and Secretary. Under the terms of his employment agreement, Mr. Wood’s initial base salary is $700,000, subject to review and adjustment from time to time. Mr. Wood is also eligible for an annual bonus opportunity with a target amount equal to $300,000, subject to approval by the Compensation Committee of the Board in its sole discretion, and annual grants of time-based and/or performance-based restricted stock units with a grant date fair value equal to $1,650,000, subject to Board (or its Compensation Committee) approval, vesting conditions established by the Board (or its Compensation Committee) and other conditions. Mr. Wood is also eligible for a $15,000 relocation package and a housing search allowance of up to $25,000, subject to conditions. If we terminate Mr. Wood’s employment without cause, or if he resigns for good reason, he is entitled to six months of base salary continuation, six months of continued time-vesting of his equity awards and up to six months of COBRA premium payments, in each case subject to his execution and non-revocation of a release of claims. If any such termination or resignation occurs within six months following a change in control, all of his unvested time-based equity awards will accelerate and vest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Legacy ProCap entered into an amended and restated employment agreement with Mr. Wood, pursuant to which the restrictive covenants included in Mr. Wood’s original employment agreement were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Separation Agreement with Mr. Park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Jeff Park notified us of his resignation as our Chief Investment Officer, effective April 3, 2026, and in connection with his resignation Mr. Park resigned from all positions he held with us and our subsidiaries. We have not appointed a successor Chief Investment Officer. We entered into a Separation Agreement and General Release with Mr. Park, dated April 3, 2026, pursuant to which Mr. Park is entitled to receive continued payment of his base salary through May 8, 2026, continued vesting of his outstanding restricted stock unit awards granted under the Incentive Plan through the next equity grant date following May 8, 2026, occurring in August 2026, after which all further vesting will cease and any unvested restricted stock units will be forfeited, and continued group health insurance coverage for up to six months following April 3, 2026. We waived the non-competition covenant applicable to Mr. Park under his employment agreement, and his confidentiality, non-solicitation and non-disparagement obligations remain in full force and effect.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BP_015"/>
      <w:bookmarkEnd w:id="16"/>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beneficial ownership of our Common Stock as of September 30, 2026 (the “</w:t>
      </w:r>
      <w:r>
        <w:rPr>
          <w:rFonts w:ascii="Times New Roman;Times;Serif" w:hAnsi="Times New Roman;Times;Serif"/>
          <w:b w:val="false"/>
          <w:i w:val="false"/>
          <w:caps w:val="false"/>
          <w:smallCaps w:val="false"/>
          <w:sz w:val="20"/>
          <w:u w:val="single"/>
        </w:rPr>
        <w:t>Ownership Date</w:t>
      </w:r>
      <w:r>
        <w:rPr>
          <w:rFonts w:ascii="Times New Roman;Times;Serif" w:hAnsi="Times New Roman;Times;Serif"/>
          <w:b w:val="false"/>
          <w:i w:val="false"/>
          <w:caps w:val="false"/>
          <w:smallCaps w:val="false"/>
          <w:sz w:val="20"/>
        </w:rPr>
        <w:t>”), after giving effect to the consummation of the Business Combination and actual redemptions from CCCM’s trust account by:</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to be the beneficial owner of more than 5% of issued and outstanding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named executive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executive officers and directors of the Company as a group.</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the Ownership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Common Stock is based on 81,006,290 shares of Common Stock outstanding as of the Ownership Date. Shares of Common Stock that a person has the right to acquire within 60 days of the Ownership Date are deemed outstanding for purposes of computing the percentage ownership of that person, but are not deemed outstanding for purposes of computing the percentage ownership of any other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the Company believes that all persons named in the table below have sole voting and investment power with respect to the voting securities beneficially owned by them.</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195"/>
        <w:gridCol w:w="60"/>
        <w:gridCol w:w="61"/>
        <w:gridCol w:w="1129"/>
        <w:gridCol w:w="60"/>
        <w:gridCol w:w="60"/>
        <w:gridCol w:w="164"/>
        <w:gridCol w:w="1206"/>
        <w:gridCol w:w="230"/>
      </w:tblGrid>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30" w:type="dxa"/>
            <w:tcBorders/>
            <w:vAlign w:val="center"/>
          </w:tcPr>
          <w:p>
            <w:pPr>
              <w:pStyle w:val="TableContents"/>
              <w:bidi w:val="0"/>
              <w:spacing w:before="0" w:after="283"/>
              <w:jc w:val="left"/>
              <w:rPr/>
            </w:pPr>
            <w:r>
              <w:rPr/>
              <w:t> </w:t>
            </w:r>
          </w:p>
        </w:tc>
      </w:tr>
      <w:tr>
        <w:trPr/>
        <w:tc>
          <w:tcPr>
            <w:tcW w:w="51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w:t>
              <w:br/>
              <w:t>Percentage</w:t>
              <w:br/>
              <w:t>of Class</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Anthony Pompliano</w:t>
            </w:r>
            <w:r>
              <w:rPr>
                <w:rFonts w:ascii="Times New Roman;Times;Serif" w:hAnsi="Times New Roman;Times;Serif"/>
                <w:position w:val="7"/>
                <w:sz w:val="16"/>
                <w:sz w:val="20"/>
              </w:rPr>
              <w:t>(2)(3)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14,647,594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18.1</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Shain Noor</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3,842,425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4.7</w:t>
            </w:r>
          </w:p>
        </w:tc>
        <w:tc>
          <w:tcPr>
            <w:tcW w:w="23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pPr>
            <w:r>
              <w:rPr/>
              <w:t>Renae Cormier</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418,597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Megan Pacchia</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248,535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Kyle Wood</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317,232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Gary Quin</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Bill Koutsouras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Eric Jackson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Benjamin D. Buchanan</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8,361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All officers and directors as a group (9 individuals)</w:t>
            </w:r>
            <w:r>
              <w:rPr>
                <w:position w:val="8"/>
                <w:sz w:val="19"/>
              </w:rPr>
              <w:t>(10)</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20,182,744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24.9</w:t>
            </w:r>
          </w:p>
        </w:tc>
        <w:tc>
          <w:tcPr>
            <w:tcW w:w="23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b/>
              </w:rPr>
            </w:pPr>
            <w:r>
              <w:rPr>
                <w:b/>
              </w:rPr>
              <w:t>Other 5% Shareholders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Inflection Points Inc, d/b/a Professional Capital Management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14,349,594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17.7</w:t>
            </w:r>
          </w:p>
        </w:tc>
        <w:tc>
          <w:tcPr>
            <w:tcW w:w="23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Funds associated with Magnetar</w:t>
            </w:r>
            <w:r>
              <w:rPr>
                <w:rFonts w:ascii="Times New Roman;Times;Serif" w:hAnsi="Times New Roman;Times;Serif"/>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7,251,900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jc w:val="both"/>
              <w:rPr/>
            </w:pPr>
            <w:r>
              <w:rPr/>
              <w:t>Funds associated with</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LMR </w:t>
            </w:r>
            <w:r>
              <w:rPr>
                <w:rFonts w:ascii="Times New Roman;Times;Serif" w:hAnsi="Times New Roman;Times;Serif"/>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4,925,503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6.1</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entities or individuals is 600 Lexington Avenue, Floor 2, New York, New York 10022.</w:t>
            </w:r>
          </w:p>
        </w:tc>
      </w:tr>
    </w:tbl>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9,500,000 shares of Common Stock received at Closing upon in exchange for an equal number of Common Units, (ii) 1,062,500 shares of Common Stock received at Closing in exchange for 850,000 Preferred Units and (iii) 3,787,094 shares of Common Stock received on April 6, 2026 in connection with the merger of a wholly owned subsidiary of the Company with and into CFO Silvia, Inc. (the “</w:t>
            </w:r>
            <w:r>
              <w:rPr>
                <w:rFonts w:ascii="Times New Roman;Times;Serif" w:hAnsi="Times New Roman;Times;Serif"/>
                <w:b w:val="false"/>
                <w:i w:val="false"/>
                <w:caps w:val="false"/>
                <w:smallCaps w:val="false"/>
                <w:sz w:val="20"/>
                <w:u w:val="single"/>
              </w:rPr>
              <w:t>Silvia Merger</w:t>
            </w:r>
            <w:r>
              <w:rPr>
                <w:rFonts w:ascii="Times New Roman;Times;Serif" w:hAnsi="Times New Roman;Times;Serif"/>
                <w:b w:val="false"/>
                <w:i w:val="false"/>
                <w:caps w:val="false"/>
                <w:smallCaps w:val="false"/>
                <w:sz w:val="20"/>
              </w:rPr>
              <w:t>”), held by Professional Capital Management. Anthony Pompliano is the Chief Executive Officer of Professional Capital Management. Accordingly, Mr. Pompliano shares voting and dispositive power over the shares of Common Stock held by Professional Capital Management, which are also included in the shares of Common Stock beneficially owned by Mr. Pompliano. Excludes 453,426 shares of Common Stock issued in connection with the Silvia Merger that are held in escrow and over which Professional Capital Management and Mr. Pompliano do not have voting or dispositive power, and any earnout shares that may be issued in connection with the Silvia Merger. Based on a Schedule 13D/A filed with the SEC on September 18, 2026 and, with respect to the shares received in the Silvia Merger, a Schedule 13D/A filed with the SEC on April 8, 2026.</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298,000 shares of Common Stock held directly by Mr. Pompliano, of which 298,000 shares of Common Stock were purchased in open market transaction(s) by Mr. Pompliano. Based on a Schedule 13D/A filed with the SEC on September 18, 2026.</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3,716,797 shares of Common Stock beneficially owned by Mr. Noor and 125,628 shares of restricted stock units that vest within 60 days. The amount shown excludes 435,644 shares of Common Stock issued into escrow in connection with the Silvia Merger.</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261,155 shares of Common Stock beneficially owned by Ms. Cormier and 157,442 shares of restricted stock units that vest within 60 days.</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248,535 shares of Common Stock beneficially owned by Megan Pacchia.</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317,232 shares of Common Stock beneficially owned by Kyle Wood.</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700,000 shares of Common Stock received at Closing in exchange for equal number of shares of Class B common stock of CCCM (the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that Mr. Quin received upon conversion of an equal number of Class B Ordinary Shares of CCCM (the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pursuant to the Domestication, because Mr. Quin received such Class B Ordinary Shares pursuant to the distribution of CCCM securities held by the Sponsor prior to the Domestication (the “</w:t>
            </w:r>
            <w:r>
              <w:rPr>
                <w:rFonts w:ascii="Times New Roman;Times;Serif" w:hAnsi="Times New Roman;Times;Serif"/>
                <w:b w:val="false"/>
                <w:i w:val="false"/>
                <w:caps w:val="false"/>
                <w:smallCaps w:val="false"/>
                <w:sz w:val="20"/>
                <w:u w:val="single"/>
              </w:rPr>
              <w:t>Sponsor Distribution</w:t>
            </w:r>
            <w:r>
              <w:rPr>
                <w:rFonts w:ascii="Times New Roman;Times;Serif" w:hAnsi="Times New Roman;Times;Serif"/>
                <w:b w:val="false"/>
                <w:i w:val="false"/>
                <w:caps w:val="false"/>
                <w:smallCaps w:val="false"/>
                <w:sz w:val="20"/>
              </w:rPr>
              <w:t>”).</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8,361 shares of Common Stock beneficially owned by Benjamin D. Buchanan as reported on the Form 3 filed with the SEC by on July 16, 2026.</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held by Professional Capital Management are included only once in the shares of Common Stock beneficially owned by the group.</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7,251,900 shares of Common Stock beneficially owned as of March 31, 2026, as reported in the Schedule 13G filed on May 13, 2026 by Magnetar Financial LLC, Magnetar Capital Partners LP, Supernova Management LLC and David J. Snyderman. That filing reports that such amount consists of 3,125,000 shares of Common Stock, 205,000 shares of Common Stock issuable upon exercise of the Warrants and 3,921,900 shares of Common Stock issuable upon conversion of the Convertible Notes, and represents approximately 7.77% of the Common Stock, calculated pursuant to Rule 13d-3(d)(1)(i), based on 89,177,103 shares of Common Stock outstanding as reported in our Current Report on Form 8-K filed on April 6, 2026, which number of outstanding shares does not include the approximately 4,126,900 shares of Common Stock issuable upon exercise of the Warrants or conversion of the Convertible Notes. Beneficial ownership previously disclosed for the holder represented (i) 3,125,000 shares of Common Stock received at Closing in exchange for the 2,500,000 preferred units purchased by the holder in the Preferred Equity Investment, (ii) up to 3,845,000 shares of Common Stock issuable upon conversion of the Convertible Notes issued to the holder in the Convertible Note Financing at Closing, and (iii) 205,000 shares of Common Stock issuable upon exercise of Warrants, which are exercisable within 60 days. The securities referenced above are held of record by the following funds and accounts managed by Magnetar Financial LLC (“</w:t>
            </w:r>
            <w:r>
              <w:rPr>
                <w:rFonts w:ascii="Times New Roman;Times;Serif" w:hAnsi="Times New Roman;Times;Serif"/>
                <w:b w:val="false"/>
                <w:i w:val="false"/>
                <w:caps w:val="false"/>
                <w:smallCaps w:val="false"/>
                <w:sz w:val="20"/>
                <w:u w:val="single"/>
              </w:rPr>
              <w:t>MFL</w:t>
            </w:r>
            <w:r>
              <w:rPr>
                <w:rFonts w:ascii="Times New Roman;Times;Serif" w:hAnsi="Times New Roman;Times;Serif"/>
                <w:b w:val="false"/>
                <w:i w:val="false"/>
                <w:caps w:val="false"/>
                <w:smallCaps w:val="false"/>
                <w:sz w:val="20"/>
              </w:rPr>
              <w:t>”), which serves as investment manager of Magnetar Waterfront Series A LLC, Magnetar Alpha Star Fund LLC, Purpose Alternative Credit Fund - F LLC, Purpose Alternative Credit Fund Ltd, Magnetar Longhorn Fund II LLC, Magnetar Xing He Master Fund Ltd, Magnetar Constellation Master Fund Ltd and Magnetar SC Fund Ltd. MFL is the general partner of Magnetar Structured Credit Fund, LP and the manager of Magnetar Lake Credit Fund LLC (together with all of the foregoing funds, the “</w:t>
            </w:r>
            <w:r>
              <w:rPr>
                <w:rFonts w:ascii="Times New Roman;Times;Serif" w:hAnsi="Times New Roman;Times;Serif"/>
                <w:b w:val="false"/>
                <w:i w:val="false"/>
                <w:caps w:val="false"/>
                <w:smallCaps w:val="false"/>
                <w:sz w:val="20"/>
                <w:u w:val="single"/>
              </w:rPr>
              <w:t>Magnetar Funds</w:t>
            </w:r>
            <w:r>
              <w:rPr>
                <w:rFonts w:ascii="Times New Roman;Times;Serif" w:hAnsi="Times New Roman;Times;Serif"/>
                <w:b w:val="false"/>
                <w:i w:val="false"/>
                <w:caps w:val="false"/>
                <w:smallCaps w:val="false"/>
                <w:sz w:val="20"/>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Times New Roman;Times;Serif" w:hAnsi="Times New Roman;Times;Serif"/>
                <w:b w:val="false"/>
                <w:i w:val="false"/>
                <w:caps w:val="false"/>
                <w:smallCaps w:val="false"/>
                <w:sz w:val="20"/>
                <w:u w:val="single"/>
              </w:rPr>
              <w:t>MCP</w:t>
            </w:r>
            <w:r>
              <w:rPr>
                <w:rFonts w:ascii="Times New Roman;Times;Serif" w:hAnsi="Times New Roman;Times;Serif"/>
                <w:b w:val="false"/>
                <w:i w:val="false"/>
                <w:caps w:val="false"/>
                <w:smallCaps w:val="false"/>
                <w:sz w:val="20"/>
              </w:rPr>
              <w:t>”) is the sole member and parent holding company of MFL. Supernova Management LLC (“</w:t>
            </w:r>
            <w:r>
              <w:rPr>
                <w:rFonts w:ascii="Times New Roman;Times;Serif" w:hAnsi="Times New Roman;Times;Serif"/>
                <w:b w:val="false"/>
                <w:i w:val="false"/>
                <w:caps w:val="false"/>
                <w:smallCaps w:val="false"/>
                <w:sz w:val="20"/>
                <w:u w:val="single"/>
              </w:rPr>
              <w:t>Supernova</w:t>
            </w:r>
            <w:r>
              <w:rPr>
                <w:rFonts w:ascii="Times New Roman;Times;Serif" w:hAnsi="Times New Roman;Times;Serif"/>
                <w:b w:val="false"/>
                <w:i w:val="false"/>
                <w:caps w:val="false"/>
                <w:smallCaps w:val="false"/>
                <w:sz w:val="20"/>
              </w:rPr>
              <w:t>”)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3,082,128 shares of Common Stock, consisting of 1,540,163 shares of Common Stock held by LMR Multi-Strategy Master Fund Limited and 1,541,965 shares of Common Stock held by LMR CCSA Master Fund Ltd, and (ii) 1,843,375 shares of Common Stock issuable upon exercise of warrants within 60 days of the Ownership Date, consisting of warrants to purchase 921,688 shares of Common Stock held by LMR Multi-Strategy Master Fund Limited and warrants to purchase 921,687 shares of Common Stock held by LMR CCSA Master Fund Ltd. LMR Partners LLP, LMR Partners Limited, LMR Partners LLC, LMR Partners AG, LMR Partners (DIFC) Limited and LMR Partners (Ireland) Limited serve as the investment managers of such funds, and Ben Levine and Stefan Renold are ultimately in control of the investment and voting decisions of such investment managers with respect to the securities held by such funds. Each of the foregoing investment managers and individuals has shared voting and dispositive power over such shares. The address of each of the foregoing investment managers and individuals is c/o LMR Partners LLP, 9th Floor, Devonshire House, 1 Mayfair Place, London W1J 8AJ, United Kingdom. Based on a Schedule 13G filed with the SEC on May 15, 2026, reporting beneficial ownership as of March 31, 2026.</w:t>
            </w:r>
          </w:p>
        </w:tc>
      </w:tr>
    </w:tbl>
    <w:p>
      <w:pPr>
        <w:pStyle w:val="TextBody"/>
        <w:bidi w:val="0"/>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BP_016"/>
      <w:bookmarkEnd w:id="17"/>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21,559,237 shares of our Common Stock by certain of the Selling Securityholders named herein, which consists of (i) up to 13,900,000 shares of our Common Stock and (ii) up to 7,659,237 shares of Common Stock issuable upon conversion of the Convertible Notes. No additional securities are being resold by this Post-Effective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entities or individuals is 600 Lexington Avenue, Floor 2, New York, New York 10022. Percentage ownership is based on 81,006,290 shares of Common Stock outstanding as of September 30, 2026. The columns titled “Number of Shares of Common Stock Beneficially Owned Prior to Offering” and Maximum Number of Shares of “Common Stock to be Sold Pursuant to this prospectus” are as of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footnotes to the following table, under “Certain Relationships and Related Party Transactions” and elsewhere in this prospectus, none of the Selling Securityholders has held any position or office with us, or has had any other material relationship with us or any of our affiliates, during the three years preceding the date of this prospectus.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6"/>
        <w:gridCol w:w="60"/>
        <w:gridCol w:w="129"/>
        <w:gridCol w:w="2403"/>
        <w:gridCol w:w="60"/>
        <w:gridCol w:w="60"/>
        <w:gridCol w:w="140"/>
        <w:gridCol w:w="2579"/>
        <w:gridCol w:w="60"/>
        <w:gridCol w:w="60"/>
        <w:gridCol w:w="70"/>
        <w:gridCol w:w="1157"/>
        <w:gridCol w:w="70"/>
        <w:gridCol w:w="70"/>
        <w:gridCol w:w="110"/>
        <w:gridCol w:w="674"/>
        <w:gridCol w:w="237"/>
      </w:tblGrid>
      <w:tr>
        <w:trPr/>
        <w:tc>
          <w:tcPr>
            <w:tcW w:w="22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2" w:type="dxa"/>
            <w:gridSpan w:val="2"/>
            <w:tcBorders/>
            <w:vAlign w:val="center"/>
          </w:tcPr>
          <w:p>
            <w:pPr>
              <w:pStyle w:val="TableContents"/>
              <w:bidi w:val="0"/>
              <w:spacing w:before="0" w:after="283"/>
              <w:jc w:val="center"/>
              <w:rPr>
                <w:b/>
              </w:rPr>
            </w:pPr>
            <w:r>
              <w:rPr>
                <w:b/>
              </w:rPr>
              <w:t>Number of Shares of Common Stock Beneficially Owned Prior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center"/>
              <w:rPr>
                <w:b/>
              </w:rPr>
            </w:pPr>
            <w:r>
              <w:rPr>
                <w:b/>
              </w:rPr>
              <w:t>Maximum Number of Shares of Common Stock to be Sold Pursuant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1" w:type="dxa"/>
            <w:gridSpan w:val="6"/>
            <w:tcBorders>
              <w:bottom w:val="single" w:sz="8" w:space="0" w:color="000000"/>
            </w:tcBorders>
            <w:tcMar>
              <w:bottom w:w="28" w:type="dxa"/>
            </w:tcMar>
            <w:vAlign w:val="center"/>
          </w:tcPr>
          <w:p>
            <w:pPr>
              <w:pStyle w:val="TableContents"/>
              <w:bidi w:val="0"/>
              <w:jc w:val="center"/>
              <w:rPr>
                <w:b/>
              </w:rPr>
            </w:pPr>
            <w:r>
              <w:rPr>
                <w:b/>
              </w:rPr>
              <w:t>Common Stock Beneficially</w:t>
            </w:r>
          </w:p>
          <w:p>
            <w:pPr>
              <w:pStyle w:val="TableContents"/>
              <w:bidi w:val="0"/>
              <w:spacing w:before="0" w:after="283"/>
              <w:jc w:val="center"/>
              <w:rPr>
                <w:b/>
              </w:rPr>
            </w:pPr>
            <w:r>
              <w:rPr>
                <w:b/>
              </w:rPr>
              <w:t>Owned After the Offering</w:t>
            </w:r>
          </w:p>
        </w:tc>
        <w:tc>
          <w:tcPr>
            <w:tcW w:w="237" w:type="dxa"/>
            <w:tcBorders/>
            <w:vAlign w:val="center"/>
          </w:tcPr>
          <w:p>
            <w:pPr>
              <w:pStyle w:val="TableContents"/>
              <w:bidi w:val="0"/>
              <w:spacing w:before="0" w:after="283"/>
              <w:jc w:val="left"/>
              <w:rPr/>
            </w:pPr>
            <w:r>
              <w:rPr/>
              <w:t> </w:t>
            </w:r>
          </w:p>
        </w:tc>
      </w:tr>
      <w:tr>
        <w:trPr/>
        <w:tc>
          <w:tcPr>
            <w:tcW w:w="2266" w:type="dxa"/>
            <w:tcBorders>
              <w:bottom w:val="single" w:sz="8" w:space="0" w:color="000000"/>
            </w:tcBorders>
            <w:tcMar>
              <w:bottom w:w="28" w:type="dxa"/>
            </w:tcMar>
            <w:vAlign w:val="center"/>
          </w:tcPr>
          <w:p>
            <w:pPr>
              <w:pStyle w:val="TableContents"/>
              <w:bidi w:val="0"/>
              <w:spacing w:before="0" w:after="283"/>
              <w:jc w:val="center"/>
              <w:rPr>
                <w:b/>
              </w:rPr>
            </w:pPr>
            <w:r>
              <w:rPr>
                <w:b/>
              </w:rPr>
              <w:t>Name of Selling Securityholder</w:t>
            </w:r>
          </w:p>
        </w:tc>
        <w:tc>
          <w:tcPr>
            <w:tcW w:w="60" w:type="dxa"/>
            <w:tcBorders/>
            <w:vAlign w:val="center"/>
          </w:tcPr>
          <w:p>
            <w:pPr>
              <w:pStyle w:val="TableContents"/>
              <w:bidi w:val="0"/>
              <w:spacing w:before="0" w:after="283"/>
              <w:jc w:val="left"/>
              <w:rPr/>
            </w:pPr>
            <w:r>
              <w:rPr/>
              <w:t> </w:t>
            </w:r>
          </w:p>
        </w:tc>
        <w:tc>
          <w:tcPr>
            <w:tcW w:w="2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this 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w:t>
            </w:r>
            <w:r>
              <w:rPr>
                <w:rFonts w:ascii="Times New Roman;Times;Serif" w:hAnsi="Times New Roman;Times;Serif"/>
                <w:b/>
                <w:position w:val="7"/>
                <w:sz w:val="16"/>
                <w:sz w:val="20"/>
              </w:rPr>
              <w:t>(1)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 </w:t>
            </w:r>
            <w:r>
              <w:rPr>
                <w:rFonts w:ascii="Times New Roman;Times;Serif" w:hAnsi="Times New Roman;Times;Serif"/>
                <w:b/>
                <w:position w:val="7"/>
                <w:sz w:val="16"/>
                <w:sz w:val="20"/>
              </w:rPr>
              <w:t>(2)(3)</w:t>
            </w:r>
          </w:p>
        </w:tc>
        <w:tc>
          <w:tcPr>
            <w:tcW w:w="237" w:type="dxa"/>
            <w:tcBorders/>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Adam Back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Alberto Alsina Gonzalez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Boothbay Absolute Return Strategies, LP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76,900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76,900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Capital Ventures International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384,500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384,500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Context Partners Master Fund, L.P.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508,850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307,600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201,250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Daniel Nash </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Gary Quin </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Harraden Circle Investors, LP </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330,745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272,995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57,750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Harraden Circle Special Opportunities, LP </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214,755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111,505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103,250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Hudson Bay Master Fund Ltd.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423,761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230,700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193,061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Inflection Points, Inc. </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14,349,594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10,562,500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3,787,094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4.7</w:t>
            </w:r>
          </w:p>
        </w:tc>
        <w:tc>
          <w:tcPr>
            <w:tcW w:w="237" w:type="dxa"/>
            <w:tcBorders/>
            <w:shd w:fill="CCEEFF" w:val="clear"/>
            <w:vAlign w:val="center"/>
          </w:tcPr>
          <w:p>
            <w:pPr>
              <w:pStyle w:val="TableContents"/>
              <w:bidi w:val="0"/>
              <w:spacing w:before="0" w:after="283"/>
              <w:jc w:val="left"/>
              <w:rPr/>
            </w:pPr>
            <w:r>
              <w:rPr/>
              <w:t>%</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Jane Street Global Trading, LLC </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1,557,657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1,538,000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19,657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Jeffrey Park </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Joseph Pooler </w:t>
            </w:r>
            <w:r>
              <w:rPr>
                <w:rFonts w:ascii="Times New Roman;Times;Serif" w:hAnsi="Times New Roman;Times;Serif"/>
                <w:position w:val="7"/>
                <w:sz w:val="16"/>
                <w:sz w:val="20"/>
              </w:rPr>
              <w:t>(17)</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Alpha Star Fund LLC </w:t>
            </w:r>
            <w:r>
              <w:rPr>
                <w:rFonts w:ascii="Times New Roman;Times;Serif" w:hAnsi="Times New Roman;Times;Serif"/>
                <w:position w:val="7"/>
                <w:sz w:val="16"/>
                <w:sz w:val="20"/>
              </w:rPr>
              <w:t>(18)</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699,052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376,502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322,550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Constellation Master Fund, Ltd </w:t>
            </w:r>
            <w:r>
              <w:rPr>
                <w:rFonts w:ascii="Times New Roman;Times;Serif" w:hAnsi="Times New Roman;Times;Serif"/>
                <w:position w:val="7"/>
                <w:sz w:val="16"/>
                <w:sz w:val="20"/>
              </w:rPr>
              <w:t>(19)</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1,339,682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721,629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618,053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Lake Credit Fund LLC </w:t>
            </w:r>
            <w:r>
              <w:rPr>
                <w:rFonts w:ascii="Times New Roman;Times;Serif" w:hAnsi="Times New Roman;Times;Serif"/>
                <w:position w:val="7"/>
                <w:sz w:val="16"/>
                <w:sz w:val="20"/>
              </w:rPr>
              <w:t>(20)</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1,506,757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815,755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691,002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Longhorn Fund II LLC </w:t>
            </w:r>
            <w:r>
              <w:rPr>
                <w:rFonts w:ascii="Times New Roman;Times;Serif" w:hAnsi="Times New Roman;Times;Serif"/>
                <w:position w:val="7"/>
                <w:sz w:val="16"/>
                <w:sz w:val="20"/>
              </w:rPr>
              <w:t>(21)</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253,688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141,188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112,500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SC Fund LTD </w:t>
            </w:r>
            <w:r>
              <w:rPr>
                <w:rFonts w:ascii="Times New Roman;Times;Serif" w:hAnsi="Times New Roman;Times;Serif"/>
                <w:position w:val="7"/>
                <w:sz w:val="16"/>
                <w:sz w:val="20"/>
              </w:rPr>
              <w:t>(22)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467,400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251,001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216,399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Structured Credit Fund, LP </w:t>
            </w:r>
            <w:r>
              <w:rPr>
                <w:rFonts w:ascii="Times New Roman;Times;Serif" w:hAnsi="Times New Roman;Times;Serif"/>
                <w:position w:val="7"/>
                <w:sz w:val="16"/>
                <w:sz w:val="20"/>
              </w:rPr>
              <w:t>(23)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1,416,044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768,692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647,352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Waterfront Series A LLC </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114,797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62,750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52,047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Xing He Master Fund Ltd </w:t>
            </w:r>
            <w:r>
              <w:rPr>
                <w:rFonts w:ascii="Times New Roman;Times;Serif" w:hAnsi="Times New Roman;Times;Serif"/>
                <w:position w:val="7"/>
                <w:sz w:val="16"/>
                <w:sz w:val="20"/>
              </w:rPr>
              <w:t>(25)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710,305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627,504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82,801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Purpose Alternative Credit Fund - F LLC </w:t>
            </w:r>
            <w:r>
              <w:rPr>
                <w:rFonts w:ascii="Times New Roman;Times;Serif" w:hAnsi="Times New Roman;Times;Serif"/>
                <w:position w:val="7"/>
                <w:sz w:val="16"/>
                <w:sz w:val="20"/>
              </w:rPr>
              <w:t>(26)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281,876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156,876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125,000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Matthew Joseph Murphy </w:t>
            </w:r>
            <w:r>
              <w:rPr>
                <w:rFonts w:ascii="Times New Roman;Times;Serif" w:hAnsi="Times New Roman;Times;Serif"/>
                <w:position w:val="7"/>
                <w:sz w:val="16"/>
                <w:sz w:val="20"/>
              </w:rPr>
              <w:t>(27)</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Meteora Select Trading Opportunities Master, LP </w:t>
            </w:r>
            <w:r>
              <w:rPr>
                <w:rFonts w:ascii="Times New Roman;Times;Serif" w:hAnsi="Times New Roman;Times;Serif"/>
                <w:position w:val="7"/>
                <w:sz w:val="16"/>
                <w:sz w:val="20"/>
              </w:rPr>
              <w:t>(28)</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233,150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76,900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156,250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Saba Capital Income &amp; Opportunities Fund </w:t>
            </w:r>
            <w:r>
              <w:rPr>
                <w:rFonts w:ascii="Times New Roman;Times;Serif" w:hAnsi="Times New Roman;Times;Serif"/>
                <w:position w:val="7"/>
                <w:sz w:val="16"/>
                <w:sz w:val="20"/>
              </w:rPr>
              <w:t>(29)</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196,677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169,180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27,497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Saba Capital Income &amp; Opportunities Fund II </w:t>
            </w:r>
            <w:r>
              <w:rPr>
                <w:rFonts w:ascii="Times New Roman;Times;Serif" w:hAnsi="Times New Roman;Times;Serif"/>
                <w:position w:val="7"/>
                <w:sz w:val="16"/>
                <w:sz w:val="20"/>
              </w:rPr>
              <w:t>(30)</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159,534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138,420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21,114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Saba Capital Master Fund, Ltd. </w:t>
            </w:r>
            <w:r>
              <w:rPr>
                <w:rFonts w:ascii="Times New Roman;Times;Serif" w:hAnsi="Times New Roman;Times;Serif"/>
                <w:position w:val="7"/>
                <w:sz w:val="16"/>
                <w:sz w:val="20"/>
              </w:rPr>
              <w:t>(31)</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416,363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276,840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139,523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K2 Principal Fund L.P. </w:t>
            </w:r>
            <w:r>
              <w:rPr>
                <w:rFonts w:ascii="Times New Roman;Times;Serif" w:hAnsi="Times New Roman;Times;Serif"/>
                <w:position w:val="7"/>
                <w:sz w:val="16"/>
                <w:sz w:val="20"/>
              </w:rPr>
              <w:t>(32)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153,800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153,800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Other Selling Securityholders </w:t>
            </w:r>
            <w:r>
              <w:rPr>
                <w:rFonts w:ascii="Times New Roman;Times;Serif" w:hAnsi="Times New Roman;Times;Serif"/>
                <w:position w:val="7"/>
                <w:sz w:val="16"/>
                <w:sz w:val="20"/>
              </w:rPr>
              <w:t>(33)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pPr>
            <w:r>
              <w:rPr/>
              <w:t>Total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29,133,387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21,559,237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7,574,150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9.35</w:t>
            </w:r>
          </w:p>
        </w:tc>
        <w:tc>
          <w:tcPr>
            <w:tcW w:w="23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number of shares that will be held by Selling Securityholders after completion of this offering based on the assumptions that (a) all shares of Common Stock (including those underlying the Convertible Notes and Warrants, as applicable) registered for resale in the Registration Statement of which this prospectus is part of will be sold and (b) no other shares of Common Stock are acquired or sold by Selling Securityholders prior to completion of this offering. However, Selling Securityholders may sell all, some or none of such shares of Common Stock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percentage ownership is based on 81,006,290 shares of Common Stock outstanding as of September 30, 2026, and based on 81,006,290 shares of Common Stock outstanding after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Percentage ownership is only provided for Selling Securityholders whose ownership exceeds one percent (1%). The percentage is not included if ownership is less than one percent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Shares of our Common Stock beneficially owned prior to the offering represents 1,300,000 shares of Common Stock received by Adam Back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Shares of our Common Stock beneficially owned prior to the offering represents 50,000 shares of Common Stock received by Alberto Alsina Gonzalez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Shares of our Common Stock beneficially owned prior to the offering represents 76,900 shares of Common Stock underlying the Convertible Notes. Boothbay Absolute Return Strategies, LP, a Delaware limited partnership (“Boothbay”) is managed by Meteora Capital, LLC (“Meteora”). Meteora, in its capacity as the investment manager of Boothbay with respect to this investment, has the power to vote and the power to direct the disposition of all securities held by Boothbay with respect to this investment. Vikas Mittal is the Managing Member of Meteora. Each of Boothbay, Meteora, and Mr. Mittal disclaims beneficial ownership of these securities, except to the extent of any pecuniary interest therein. The principal business address of Meteora is 1200 N Federal Hwy, Ste 200, Boca Raton, FL 33432.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Shares of our Common Stock beneficially owned prior to the offering represents 384,500 shares of Common Stock underlying the Convertible Notes. Susquehanna Advisors Group, Inc. (“SAGI”), the authorized agent of Capital Ventures International (“CVI”), has discretionary authority to vote and dispose of the shares held by CVI and may be deemed to be the beneficial owner of these shares. Michael Ferry may also be deemed to have investment discretion and/or voting power of the shares through SAGI and may be deemed to beneficially own the shares held by this entity. Mr. Ferry disclaims any such beneficial ownership of the shares. The principal business address of CVI is c/o Susquehanna Advisors Group, Inc., 401 City Avenue, Suite 220, Bala Cynwyd, PA 19004. CVI is an affiliate of one or more broker-dealers and has represented to us that (1) it purchased the securities in the ordinary course of business and (2) at the time of purchase, it had no agreements or understandings, directly or indirectly, with any person to distribute the securities.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Shares of our Common Stock beneficially owned prior to the offering represents 307,600 shares of Common Stock underlying the Convertible Notes and 201,250 shares of Common Stock received pursuant to the Business Combination. Only the 307,600 shares of Common Stock underlying the Convertible Notes are being registered for resale by the Registration Statement of which this prospectus is part. Voting and investment power over the securities held by Context Partners Master Fund, L.P. resides with Context Capital Management, LLC, its investment adviser. The principal business address of Context Partners Master Fund, L.P. is 7724 Girard Avenue, Third Floor, La Jolla, CA 92037.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Shares of our Common Stock beneficially owned prior to the offering represents 500,000 shares of Common Stock received by Daniel Nash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Shares of our Common Stock beneficially owned prior to the offering represents 700,000 shares of Common Stock received by Gary Quin, a director of the Company,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Shares of our Common Stock beneficially owned prior to the offering represents 272,995 shares of Common Stock underlying the Convertible Notes and 57,750 shares of Common Stock received pursuant to the Business Combination. Only the 272,995 shares of Common Stock underlying the Convertible Notes are being registered for resale by the Registration Statement of which this prospectus is part. Harraden Circle Investors, LP is controlled by Frederick Vincent Fortmiller, Jr. The principal business address for Harraden Circle Investors, LP is 885 Third Avenue, Suite 2600B, New York, NY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Shares of our Common Stock beneficially owned prior to the offering represents 111,505 shares of Common Stock underlying the Convertible Notes and 103,250 shares of Common Stock received pursuant to the Business Combination. Only the 111,505 shares of Common Stock underlying the Convertible Notes are being registered for resale by the Registration Statement of which this prospectus is part. Harraden Circle Special Opportunities, LP is controlled by Frederick Vincent Fortmiller, Jr. The principal business address for Harraden Circle Special Opportunities, LP is 885 Third Avenue, Suite 2600B, New York, NY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Shares of our Common Stock beneficially owned prior to the offering represents 230,700 shares of Common Stock underlying the Convertible Notes, 175,000 shares of Common Stock received pursuant to the Business Combination, 13,125 shares of Common Stock underlying Warrants owned by HBC Investments Ltd., and 4,936 shares of Common Stock underlying Warrants owned by HB Strategies LLC. Only the 230,700 shares of Common Stock underlying the Convertible Notes are being registered for resale by the Registration Statement of which this prospectus is part. 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principal business address of Hudson Bay Master Fund Ltd. is c/o Hudson Bay Capital Management LP, 290 Harbor Drive, FL 3, Stamford, CT 06902.</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Shares of our Common Stock beneficially owned prior to the offering represents (i) 9,500,000 shares of Common Stock received at Closing in exchange for an equal number of common units, (ii) 1,062,500 shares of Common Stock received at Closing in exchange for 850,000 preferred units, and (iii) 3,787,094 shares of Common Stock issued as consideration in the Silvia Merger. Only 10,562,500 shares of Common Stock are being registered for resale by the Registration Statement of which this prospectus is part. Anthony Pompliano is the Chief Executive Officer of Inflection Points, Inc and therefore may be deemed to beneficially own these securities. The principal business address of Inflection Points, Inc. is 600 Lexington Avenue, Fl.2 New York, NY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Shares of our Common Stock beneficially owned prior to the offering represents 1,538,000 shares of Common Stock underlying the Convertible Notes, 57 Warrants to purchase shares of Common Stock, and 19,600 shares which the Selling Securityholder or its affiliates would be entitled to receive upon the exercise of certain call options currently held. Only the 1,538,000 shares of Common Stock underlying the Convertible Notes are being registered for resale by the Registration Statement of which this prospectus is part. Jane Street Global Trading, LLC is a wholly owned subsidiary of Jane Street Group, LLC. Turner Batty and Matthew Berger are the members of Jane Street Group’s Management Committee who exercise dispositive power over the Common Stock held by Jane Street Global Trading, LLC. Each of these individuals will disclaim beneficial interest of the Common Stock held by Jane Street Global Trading, LLC, except to the extent of his or her pecuniary interest. The principal business address of Jane Street Global Trading, LLC is 250 Vesey Street,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New York, NY 10281.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Shares of our Common Stock beneficially owned prior to the offering represents 500,000 shares of Common Stock received by Jeffrey Park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Shares of our Common Stock beneficially owned prior to the offering represents 150,000 shares of Common Stock received by Joseph Pooler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Shares of our Common Stock beneficially owned prior to the offering represents 376,502 shares of Common Stock underlying the Convertible Notes, 300,000 shares of Common Stock and 22,550 shares of Common Stock issuable upon exercise of Warrants. Only the 376,502 shares of Common Stock underlying the Convertible Notes are being registered for resale by the Registration Statement of which this prospectus is part. Magnetar Alpha Star Fund LLC is managed by Magnetar Financial LLC (“MFL”), which serves as investment manager of Magnetar Xing He Master Fund Ltd, Magnetar Alpha Star Fund LLC, Magnetar Constellation Master Fund Ltd, Magnetar Longhorn Fund II LLC, Purpose Alternative, Credit Fund – F LLC (“Purpose F”), Magnetar Waterfront Series A LLC, and Magnetar SC Fund Ltd. MFL is the general partner of Magnetar Structured Credit Fund, LP and the manager of Magnetar Lake Credit Fund LLC (together with all of the foregoing funds, the “Magnetar Funds”). In such capacities, MFL exercises voting and investment power over the securities listed above held for the accounts of the Magnetar Funds. MFL is a registered investment adviser under Section 203 of the Advisers Act. Magnetar Capital Partners LP (“MCP”), is the sole member and parent holding company of MFL. Supernova Management LLC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Shares of our Common Stock beneficially owned prior to the offering represents 721,629 shares of Common Stock underlying the Convertible Notes, 575,000 shares of Common Stock and 43,053 shares of Common Stock issuable upon exercise of Warrants. Only the 721,629 shares of Common Stock underlying the Convertible Notes are being registered for resale by the Registration Statement of which this prospectus is part. Magnetar Constellation Master Fund, Ltd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Shares of our Common Stock beneficially owned prior to the offering represents 815,755 shares of Common Stock underlying the Convertible Notes, 650,000 shares of Common Stock and 41,002 shares of Common Stock issuable upon exercise of Warrants. Only the 815,755 shares of Common Stock underlying the Convertible Notes are being registered for resale by the Registration Statement of which this prospectus is part. Magnetar Lake Credit Fund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Shares of our Common Stock beneficially owned prior to the offering represents 141,188 shares of Common Stock underlying the Convertible Notes and 112,500 shares of Common Stock. Only the 141,188 shares of Common Stock underlying the Convertible Notes are being registered for resale by the Registration Statement of which this prospectus is part. Magnetar Longhorn Fund II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Shares of our Common Stock beneficially owned prior to the offering represents 251,001 shares of Common Stock underlying the Convertible Notes, 200,000 shares of Common Stock and 16,399 shares of Common Stock issuable upon exercise of Warrants. Only the 251,001 shares of Common Stock underlying the Convertible Notes are being registered for resale by the Registration Statement of which this prospectus is part. Magnetar SC Fund Ltd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Shares of our Common Stock beneficially owned prior to the offering represents 768,692 shares of Common Stock underlying the Convertible Notes, 612,500 shares of Common Stock and 34,852 shares of Common Stock issuable upon exercise of Warrants. Only the 768,692 shares of Common Stock underlying the Convertible Notes are being registered for resale by the Registration Statement of which this prospectus is part. Magnetar Structured Credit Fund, LP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Shares of our Common Stock beneficially owned prior to the offering represents 62,750 shares of Common Stock underlying the Convertible Notes, 50,000 shares of Common Stock and 2,047 shares of Common Stock issuable upon exercise of Warrants. Only the 62,750 shares of Common Stock underlying the Convertible Notes are being registered for resale by the Registration Statement of which this prospectus is part. Magnetar Waterfront Series A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Shares of our Common Stock beneficially owned prior to the offering represents 627,504 shares of Common Stock underlying the Convertible Notes, 50,000 shares of Common Stock and 32,801 shares of Common Stock issuable upon exercise of Warrants. Only the 627,504 shares of Common Stock underlying the Convertible Notes are being registered for resale by the Registration Statement of which this prospectus is part. Magnetar Xing He Master Fund Ltd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Shares of our Common Stock beneficially owned prior to the offering represents 156,876 shares of Common Stock underlying the Convertible Notes and 125,000 shares of Common Stock. Only the 156,876 shares of Common Stock underlying the Convertible Notes are being registered for resale by the Registration Statement of which this prospectus is part. Purpose Alternative Credit Fund - F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Shares of our Common Stock beneficially owned prior to the offering represents 50,000 shares of Common Stock received by Matthew Joseph Murphy pursuant to the Business Combination.</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Shares of our Common Stock beneficially owned prior to the offering represents 76,900 shares of Common Stock underlying the Convertible Notes and 156,250 shares received pursuant to the Business Combination. Only the 76,900 shares of Common Stock underlying the Convertible Notes are being registered for resale by the Registration Statement of which this prospectus is part. Vikas Mittal may be deemed to have sole voting and dispositive power with respect to the shares held by Meteora Select Trading Opportunities Master, LP. Mr. Mittal disclaims beneficial ownership of these securities, except to the extent of any pecuniary interest therein. The principal business address for Meteora Select Trading Opportunities Master, LP is 1200 N Federal Hwy, Ste 200, Boca Raton, FL 33432.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Shares of our Common Stock beneficially owned prior to the offering represents 169,180 shares of Common Stock underlying the Convertible Notes, 1,918 shares of Common Stock issuable upon exercise of Warrants, and 25,579 shares of Common Stock received pursuant to the Business Combination. Only the 169,180 shares of Common Stock underlying the Convertible Notes are being registered for resale by the Registration Statement of which this prospectus is part. Saba Capital Income &amp; Opportunities Fund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Saba Capital Income &amp; Opportunities Fund. Mr. Weinstein disclaims any beneficial ownership of the securities reported by Saba Capital Income &amp; Opportunities Fund other than to the extent of any pecuniary interest Mr. Weinstein may have therein, directly or indirectly. The principal business address for Saba Capital Income &amp; Opportunities Fund is 405 Lexington Avenue,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Shares of our Common Stock beneficially owned prior to the offering represents 138,420 shares of Common Stock underlying the Convertible Notes, 1,473 shares of Common Stock issuable upon exercise of Warrants, and 19,641 shares of Common Stock received pursuant to the Business Combination. Only the 138,420 shares of Common Stock underlying the Convertible Notes are being registered for resale by the Registration Statement of which this prospectus is part. Saba Capital Income &amp; Opportunities Fund II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Saba Capital Income &amp; Opportunities Fund II. Mr. Weinstein disclaims any beneficial ownership of the securities reported by Saba Capital Income &amp; Opportunities Fund II other than to the extent of any pecuniary interest Mr. Weinstein may have therein, directly or indirectly. The principal business address for Saba Capital Income &amp; Opportunities Fund II is 405 Lexington Avenue,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Shares of our Common Stock beneficially owned prior to the offering represents 276,840 shares of Common Stock underlying the Convertible Notes, 9,734 shares of Common Stock issuable upon exercise of Warrants, and 129,789 shares of Common Stock received pursuant to the Business Combination. Only the 276,840 shares of Common Stock underlying the Convertible Notes are being registered for resale by the Registration Statement of which this prospectus is part.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Saba Capital Master Fund, Ltd. Mr. Weinstein disclaims any beneficial ownership of the securities reported by Saba Capital Master Fund, Ltd. other than to the extent of any pecuniary interest Mr. Weinstein may have therein, directly or indirectly. The principal business address for Saba Capital Master Fund, Ltd. is 405 Lexington Avenue,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Shares of our Common Stock beneficially owned prior to the offering represents 153,800 shares of Common Stock underlying the Convertible Notes. The K2 Principal Fund L.P. is controlled by Todd Sikorski. The principal business address for The K2 Principal Fund L.P. is 2 Bloor Street West, Suite 801, Toronto, Ontario M4W 3E2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The disclosure with respect to the remaining Selling Securityholders is being made on an aggregate basis, as opposed to an individual basis, because their individual holdings are less than one percent (1%) of the outstanding shares of Common Stock. Such shares were received by the remaining Selling Securityholders from the Sponsor subsequently pursuant to the Business Combination.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BP_017"/>
      <w:bookmarkEnd w:id="18"/>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550,000,000 shares of Common Stock, par value $0.001 per share, and 50,000,000 shares of preferred stock, par value $0.001 per share. As of October 6, 2026, 79,375,625 shares of Common Stock were issued and outstanding, no shares of Common Stock were held in treasury and no shares of preferred stock were issued and outstanding. The number of shares of Common Stock issued and outstanding is not the same as the number of shares of Common Stock registered under the Registration Statement, which registers 34,411,715 shares of Common Stock, including shares of Common Stock issuable upon conversion of the Convertible Notes and upon exercise of the Warrants that have not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terms of our capital stock but does not purport to be complete, and it is qualified in its entirety by reference to the applicable provisions of Delaware law and our Charter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share of Common Stock is entitled to one vote per share on all matters (including the election of directors) submitted to a vote of stockholders, unless otherwise required by law or our Charter. Our Charter and Bylaws do not provide for cumulative voting rights. Directors will be elected by plurality vote of the shares of Common Stock present at an annual meeting and entitled to vote. Unless otherwise required by law, our Charter, or Bylaws, at any meeting of the stockholders at which a quorum is present or represented, the affirmative vote of a simple majority of the voting power of the shares present in person or by proxy at such meeting and entitled to vote on the subject matter shall be the act of the stockholders, except as otherwise required by law. The holders of a majority of the stock issued and outstanding and entitled to vote, present in person or by proxy, shall constitute a quorum for the transaction of business at all meetings of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 rights. </w:t>
      </w:r>
      <w:r>
        <w:rPr>
          <w:rFonts w:ascii="Times New Roman;Times;Serif" w:hAnsi="Times New Roman;Times;Serif"/>
          <w:b w:val="false"/>
          <w:i w:val="false"/>
          <w:caps w:val="false"/>
          <w:smallCaps w:val="false"/>
          <w:sz w:val="20"/>
        </w:rPr>
        <w:t>Subject to preferences that may be applicable to any then-outstanding preferred stock, holders of our Common Stock will be entitled to receive dividends, if any, as may be declared from time to time by our board of directors out of legally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upon liquidation. </w:t>
      </w:r>
      <w:r>
        <w:rPr>
          <w:rFonts w:ascii="Times New Roman;Times;Serif" w:hAnsi="Times New Roman;Times;Serif"/>
          <w:b w:val="false"/>
          <w:i w:val="false"/>
          <w:caps w:val="false"/>
          <w:smallCaps w:val="false"/>
          <w:sz w:val="20"/>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rights. </w:t>
      </w:r>
      <w:r>
        <w:rPr>
          <w:rFonts w:ascii="Times New Roman;Times;Serif" w:hAnsi="Times New Roman;Times;Serif"/>
          <w:b w:val="false"/>
          <w:i w:val="false"/>
          <w:caps w:val="false"/>
          <w:smallCaps w:val="false"/>
          <w:sz w:val="20"/>
        </w:rPr>
        <w:t>Holders of our Common Stock will have no preemptive, conversion, subscription or other rights, and as of the closing of the Business Combination there will be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or other corporate action. As of June 30, 2026, no shares of preferred stock were issued and outstanding, and we have no present plan to issue any shares of preferred stock.</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the Convertible Note Investors each entered into the Convertible Note Subscription Agreements with us, Legacy ProCap and CCCM, pursuant to which, upon the Closing, the Convertible Note Investors agreed to purchase the Convertible Notes issued by us, in an aggregate principal amount of $235 million, for an aggregate purchase price equal to 97% of the aggregate principal amount of the Convertible Notes. The Convertible Note Financing was funded at the Closing. On February 9, 2026, we entered into privately negotiated note repurchase agreements with certain holders of the Convertible Notes, pursuant to which we agreed to repurchase approximately $135.4 million in aggregate principal amount of the Convertible Notes for an aggregate of approximately $119.2 million in cash. That repurchase settled on or about February 10, 2026, and upon settlement the aggregate principal amount of the Convertible Notes outstanding was reduced to approximately $99.6 million. As of June 30, 2026, 7,659,237 shares of Common Stock were issuable upon conversion of the Convertible Notes. The Registration Statement registers 7,659,237 shares of Common Stock issuable upon conversion of the Convertible Notes, which reflects the aggregate principal amount of Convertible Notes outstanding after the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have a conversion rate of 76.9 shares of Common Stock per $1,000 principal amount, equal to a conversion price of approximately $13.00 per share, bear no interest and have a maturity of up to 36 months from the date of issuance. Under the indenture governing the Convertible Notes, the Company must maintain at all times a 1.0:1.0 loan-to-collateral ratio compliance level with respect to the Convertible Notes, with Bitcoin valued at 50% and cash and cash equivalents valued at 100% for collateral calculation purposes. U.S. Bank Trust Company, National Association serves as collateral agent and trustee with regard to the Convertible Notes and associated indenture and security arrangements. Proceeds from the Convertible Note Financing were used for purposes of acquiring additional Bitcoin and for working capital purposes. The Convertible Notes have an associated 144A CUSIP number to facilitate the possibility of trading amongst qualified institutional buyers; however, the offer and sale of the Convertible Notes have not been registered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12,499,978 Public Warrants were outstanding. Each whole Public Warrant entitles the registered holder to purchase one share of our Common Stock at a price of $11.50 per share, subject to adjustment as discussed below, at any time commencing 30 days after the completion of the Business Combination. Pursuant to the A&amp;R Warrant Agreement, a Public Warrant holder may exercise its Public Warrants only for a whole number of shares of our Common Stock. This means only a whole warrant may be exercised at a given time by a Public Warrant holder. No fractional warrants will be issued upon separation of the units and only whole warrants will trade. The Public Warrants expire at 5:00 p.m., New York City time, on December 5, 2030,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shares of our Common Stock pursuant to the exercise of a Public Warrant and will have no obligation to settle such Public Warrant exercise unless a registration statement under the Securities Act with respect to the shares of our Common Stock underlying the Public Warrants is then effective and a prospectus relating thereto is current, subject to our satisfying our obligations described below with respect to registration. No Public Warrant will be exercisable and we will not be obligated to issue shares of our Common Stock upon exercise of a Public Warrant unless the share of our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of the shares of our Common Stock issuable upon exercise of the Public Warrants in the Registration Statement of which this prospectus forms a part. We will use our commercially reasonable efforts to cause the same to become effective within 60 business days following the Business Combination and to maintain a current prospectus relating to the shares of our Common Stock issuable upon exercise of the Public Warrants until the expiration of the Public Warrants in accordance with the provisions of the A&amp;R Warrant Agreement. If the registration statement covering the shares of our Common Stock issuable upon exercise of the Public Warrants is not effective by the sixtieth (60) business day after the Closing, holders of Public Warrants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Notwithstanding the above, if the shares of our Common Stock are at the time of any exercise of a Public Warrant not listed on a national securities exchange such that they satisfy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Public Warrants when the price per share of our Common Stock equals or exceeds $18.00. Once the Public Warrants become exercisable, we may redeem the outstanding Public Warrants: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 upon a minimum of 30 days’ prior written notice of redemption;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shares of Common Stock equals or exceeds $18.00 per share (as adjusted for stock splits, stock capitalizations, reorganizations, recapitalizations and the like) for any 20 trading days within a 30-trading day period commencing at least 30 days after completion of the Business Combination and ending three business days before we send the notice of redemption to the holders of Public Warrants.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Public Warrants as described above unless a registration statement under the Securities Act covering the issuance of the shares of our Common Stock issuable upon exercise of the Public Warrants is then effective and a current prospectus relating to those shares of our Common Stock is available throughout the measurement period. If and when the Public Warrants become redeemable by us, we may not exercise our redemption right if the issuance of our Common Stock upon exercise of the Public Warrants is not exempt from registration or qualification under applicable state blue sky laws or we are unable to effect such registration or qualification. We will use our best efforts to register or qualify such Common Stock under the blue sky laws of the state of residence in those states in which the Public Warrants were offered by us in this offering.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shares of our Common Stock may fall below the $18.00 redemption trigger price (as adjusted for share sub-divisions, share capitalizations, reorganizations, recapitalizations and the like) as well as the $11.50 Public Warrant exercise price after the redemption notice is issued.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procedures. A holder of a Public Warrant may notify us in writing in the event it elects to be subject to a requirement that such holder will not have the right to exercise such Public Warrants, to the extent that after giving effect to such exercise, such person (together with such person’s affiliates), to the warrant agent’s actual knowledge, would beneficially own in excess of 4.9% or 9.8% (as specified by the holder) of the shares of our Common Stock outstanding immediately after giving effect to such exercise.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Adjustments. If the number of outstanding shares of our Common Stock is increased by a stock capitalization payable in shares of our Common Stock, or by a sub-division of ordinary shares or other similar event, then, on the effective date of such share capitalization, sub-division or similar event, the number of shares of our Common Stock issuable on exercise of each Public Warrant will be increased in proportion to such increase in the outstanding shares of our Common Stock. A rights offering made to all or substantially all holders of our Common Stock entitling holders to purchase shares of our Common Stock at a price less than the fair market value will be deemed a stock capitalization of a number of shares of our Common Stock equal to the product of (i) the number of shares of our Common Stock actually sold in such rights offering (or issuable under any other equity securities sold in such rights offering that are convertible into or exercisable for shares of our Common Stock) and (ii) the quotient of (x) the price per share of our Common Stock paid in such rights offering and (y) the fair market value. For these purposes (i)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(ii) fair market value means the volume weighted average price of shares of our Common Stock as reported during the ten (10) trading day period ending on the trading day prior to the first date on which the shares of our Common Stock trade on the applicable exchange or in the applicable market, regular way, without the right to receive such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all or substantially all the holders of shares of our Common Stock on account of such shares of our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our Common Stock in respect of such event.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our Common Stock is decreased by a consolidation, combination, reverse stock sub-division or reclassification of shares of our Common Stock or other similar event, then, on the effective date of such consolidation, combination, reverse share sub-division, reclassification or similar event, the number of shares of our Common Stock issuable on exercise of each Public Warrant will be decreased in proportion to such decrease in outstanding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our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our Common Stock purchasable upon the exercise of the Public Warrants immediately prior to such adjustment, and (y) the denominator of which will be the number of shares of our Common Stock so purchasable immediately thereafter.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shares of our Common Stock or equity-linked securities for capital raising purposes in connection with the closing of the Business Combination at a Newly Issued Price (as defined in the A&amp;R Warrant Agreement) of less than $9.20 per share of our Common Stock, (y) the aggregate gross proceeds from such issuances represent more than 60% of the total equity proceeds (including from such issuances and this offering), and interest thereon, available for the funding of the Business Combination on the date of the consummation of the Business Combination (net of redemptions), and (z) the Market Value of the shares of our Common Stock is below $9.20 per share, then the exercise price of the Public Warrants will be adjusted (to the nearest cent) to be equal to 115% of the higher of the Market Value and the Newly Issued Price, and the $18.00 per share redemption trigger prices described above under “Redemption of Public Warrants when the price per share of our Common Stock equals or exceeds $18.00” will be adjusted (to the nearest cent) to be equal to 180% of the higher of the Market Value and the Newly Issued Price.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our Common Stock (other than those described above or that solely affects the par value of such shares of our Common Stock), or in the case of any merger or consolidation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(the “</w:t>
      </w:r>
      <w:r>
        <w:rPr>
          <w:rFonts w:ascii="Times New Roman;Times;Serif" w:hAnsi="Times New Roman;Times;Serif"/>
          <w:b w:val="false"/>
          <w:i w:val="false"/>
          <w:caps w:val="false"/>
          <w:smallCaps w:val="false"/>
          <w:sz w:val="20"/>
          <w:u w:val="single"/>
        </w:rPr>
        <w:t>Alternative Issuance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be issued in registered form under the Warrant Assignment, Assumption and Amendment Agreement entered into by and among Continental Stock Transfer &amp; Trust Company, as Public Warrant agent, CCCM and us (the “</w:t>
      </w:r>
      <w:r>
        <w:rPr>
          <w:rFonts w:ascii="Times New Roman;Times;Serif" w:hAnsi="Times New Roman;Times;Serif"/>
          <w:b w:val="false"/>
          <w:i w:val="false"/>
          <w:caps w:val="false"/>
          <w:smallCaps w:val="false"/>
          <w:sz w:val="20"/>
          <w:u w:val="single"/>
        </w:rPr>
        <w:t>A&amp;R Warrant Agreement</w:t>
      </w:r>
      <w:r>
        <w:rPr>
          <w:rFonts w:ascii="Times New Roman;Times;Serif" w:hAnsi="Times New Roman;Times;Serif"/>
          <w:b w:val="false"/>
          <w:i w:val="false"/>
          <w:caps w:val="false"/>
          <w:smallCaps w:val="false"/>
          <w:sz w:val="20"/>
        </w:rPr>
        <w:t>”). The A&amp;R Warrant Agreement provides that the terms of the Public Warrants may be amended without the consent of any holder for the purpose of (i) curing any ambiguity or to correct any defective provision or mistake, including to conform the provisions of the A&amp;R Warrant Agreement to the description of the terms of the Public Warrants and the A&amp;R Warrant Agreement set forth in this prospectus, (ii) adjusting the provisions relating to cash dividends on our Common Stock as contemplated by and in accordance with the A&amp;R Warrant Agreement, (iii) adding or changing any provisions with respect to matters or questions arising under the A&amp;R Warrant Agreement as the parties to the A&amp;R Warrant Agreement may deem necessary or desirable and that the parties deem to not adversely affect the rights of the registered holders of the Public Warrants or (iv) to provide for the delivery of the Alternative Issuance. All other modifications or amendments require the vote or written consent of the holders of at least 50% of the then-outstanding Public Warrants, except that amending the A&amp;R Warrant Agreement will require a vote of holders of at least 50% of the Private Warrants (including the vote or written consent of Cohen Capital Markets and Clear Street) or working capital warrants solely with respect to any amendment to the terms of the Private Warrants or working capital warrants (including, for the avoidance of doubt, the forfeiture or cancellation of any warrants).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Public Warrant certificate on or prior to the expiration date at the offices of the Public Warrant agent, with the exercise form on the reverse side of the Public Warrant certificate completed and executed as indicated, accompanied by full payment of the exercise price (or on a cashless basis, if applicable), by certified or official bank check payable to us, for the number of Public Warrants being exercised. The holders of Public Warrants do not have the rights or privileges of holders of our Common Stock and any voting rights until they exercise their Public Warrants and receive shares of our Common Stock. After the issuance of shares of our Common Stock upon exercise of the Public Warrants, each holder will be entitled to one vote for each share held of record on all matters to be voted on by stockholders.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that, subject to applicable law, any action, proceeding or claim against us arising out of or relating in any way to the A&amp;R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352,500 Private Warrants were outstanding. The Private Warrants are identical to the Public Warrants except that, so long as they are held by the Sponsor or its permitted transferees, the Private Warrants (i) may not (including the shares of our Common Stock issuable upon exercise of these warrants), subject to certain limited exceptions, be transferred, assigned or sold by the holders until 30 days after the completion of the Business Combination, (ii) are entitled to registration rights and (iii) with respect to Private Warrants held by Cohen Capital Markets, Clear Street and/or their designees, will not be exercisable more than five years from the commencement of sales in CCCM’s IPO in accordance with FINRA Rule 5110(g)(8). Amending the A&amp;R Warrant Agreement (including, for the avoidance of doubt, the forfeiture of cancellation of any warrants) will require a vote of holders of at least 50% of the Private Warrants (including the vote or written consent of Cohen Capital Markets and Clear Street) or working capital warrants solely with respect to any amendment to the terms of the Private Warrants or working capital warrants. All other modifications or amendments require the vote or written consent the holders of at least 50% of the then-outstanding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 and Vacancies;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to elect additional directors under specified circumstances, the number of directors of our Board shall be fixed solely and exclusively by resolution duly adopted from time to time by the Board, but shall initially consist of five (5) directors, which shall be divided into three (3) classes, designated Class I, II and III. Under our Bylaws, at all meetings of stockholders called for the election of directors, directors shall be elected by a plurality of the votes cast with respect to a nominee at the meeting of stockholders for the election of directors. All directors will be elected to hold office until the expiration of the term for which they are elected and until their successors have been duly elected and qualified or until their earlier resignation or removal.</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the DGCL may otherwise require and subject to the rights, if any, of the holders of any series of our preferred stock, newly created directorships resulting from any increase in the number of directors and any vacancies on the Board resulting from death, resignation, disqualification, removal or other cause may be filled by the affirmative vote of a simple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prohibited by applicable law or our Charter, any director or the entire Board may be removed from office at any time, but only for cause and only by the affirmative vote of the holders of at least two-thirds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our issued and outstanding capital stock entitled to vote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powers and authority expressly conferred upon them by statute or by our Charter or Bylaws, the directors are empowered to exercise all such powers and do all such acts and things as may be exercised or done by us, subject, nevertheless, to the provisions of the DGCL, our Charter and the Bylaws adopted and in effect from time to time; provided, however, that no Bylaw adopted, amended, altered or repealed after the date of the Bylaws will invalidate any prior act of our directors or officers which would have been valid if such Bylaws had not been adopted, amended, altered or repealed.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in voting power of the shares of the Company entitled to vote at the meeting, present in person or by proxy, shall constitute a quorum. If, however, such quorum shall not be present or represented at any meeting of the stockholders, then either (a) the chair of the meeting or (b) the stockholders by the affirmative vote of the holders of a majority of the voting power of our Common Stock present in person or by proxy at the meeting entitled to vote thereon, shall have power to adjourn the meeting from time to time,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to first negotiate with the Board, which we believe may result in an improvement of the terms of any such acquisition in favor of our stockholders. However, they also give the Board the power to discourage acquisitions that some stockholders may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the Board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Action by Written Consent and 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required by law, and subject to the rights, if any, of the holders of any series of our preferred stock, special meetings of our stockholders may be called only by the Board of Directors or the Chair of the Board or by the secretary following receipt of one or more written demands to call a special meeting of stockholders who own, in the aggregate, at least 25% of the voting power of our Company. A special meeting requested by stockholders shall be held at such date and time as may be fixed by the Board of Directors;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date of any such special meeting shall be not more than 90 days after the request to call the special meeting is received by the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provide that unless otherwise restricted by our Charter or the Bylaws, any action required or permitted to be taken at any meeting of the Board or of any committee thereof may be taken without a meeting, if all members of the Board or of such committee, as the case may be, consent thereto in writing or by electronic transmission.</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stockholder meeting any stockholder actions, even if they are favored by the holders of a majority of our outstanding voting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simple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Anti-Takeover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Board or holders of two-thirds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 Pursuant to our Charter, we opted out of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limits the liability of our directors and officers to the fullest extent permitted by law as it now exists or may hereafter be amended, and our Bylaws provide that we will indemnify and hold them harmless to the fullest extent permitted by such law. We have entered into indemnification agreements with our directors and officers. Under the terms of such indemnification agreements, we will be required to indemnify each of our directors and officers, to the fullest extent permitted by the laws of the state of Delaware, if the basis of the indemnitee’s involvement was by reason of the fact that the indemnitee is or was a director or officer of our Company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of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(i) the Court of Chancery of the State of Delaware will, to the fullest extent permitted by law, be the sole and exclusive forum for any stockholder (including beneficial owner) to bring (a) any derivative action or proceeding brought on behalf of us, (b) any action asserting a claim of breach of a fiduciary duty owed by any current or former director, officer or other employee, agent or stockholder to us or our stockholders, (c) any action asserting a claim against us, our current or former directors, officers, or employees, agents or stockholders arising pursuant to any provision of the DGCL or our Charter or our Bylaws (each, as may be amended from time to time), or (d) any action asserting a claim governed by the internal affairs doctrine; and (ii) subject to the preceding provisions and although there is uncertainty as to whether a court would enforce such provision, the federal district courts of the United States of America shall be the exclusive forum for the resolution of any complaint asserting a cause or causes of action arising under the Securities Act, including all causes of action asserted against any defendant to such complaint. Our Charter expressly provides that, notwithstanding any provision therein to the contrary, the foregoing exclusive forum provision shall not apply to suits brought to enforce any duty or liability created by the Exchange Act, the Securities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For more information and risks about the potential impact of such provision on stockholders, also see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“SVIA” and our Warrants are listed on the Nasdaq Capital Market under the symbol “SVIAW.”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BP_018"/>
      <w:bookmarkEnd w:id="19"/>
      <w:r>
        <w:rPr>
          <w:rFonts w:ascii="Times New Roman;Times;Serif" w:hAnsi="Times New Roman;Times;Serif"/>
          <w:b/>
          <w:i w:val="false"/>
          <w:caps w:val="false"/>
          <w:smallCaps w:val="false"/>
          <w:sz w:val="20"/>
        </w:rPr>
        <w:t>SECURITIES ACT RESTRICTIONS ON RESALE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under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 person who has beneficially owned restricted shares of our Common Stock for at least six months would be entitled to sell their securities provided that (i) such person is not deemed to have been an affiliate of the Company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of Common Stock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our Common Stock during the four calendar weeks preceding the filing of a notice on Form 144 with respect to the sale.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our affiliates under Rule 144 are also limited by manner of sale provisions and notice requirements and to the availability of current public information about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on December 5, 2025, we are no longer a shell company, and so, once the conditions set forth in the exceptions listed above are satisfied, Rule 144 will become available for the resale of the above noted restricted securities.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BP_019"/>
      <w:bookmarkEnd w:id="2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including those issuable upon conversion of the Convertible Notes to permit the resale of these shares of Common Stock by the Selling Securityholders from time to time after the date of this prospectus. We are also registering the issuance by us of up to 12,852,478 shares of Common Stock that may be issued upon exercise of the Warrants. We will not receive any of the proceeds from the sale by the Selling Securityholders of the shares of Common Stock. We will receive up to an aggregate of $147,803,750 from the exercise of the Warrants, assuming the exercise in full of all of the Warrants for cash. We will bear all fees and expenses incident to our obligation to register the resale of the Common Stock by the Selling Securityholders and the issuance of the Common Stock upon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all or a portion of the shares of Common Stock held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also sell shares of Common Stock under Rule 144, if available, rather than under this prospectus. In addition, the Selling Securityholders may transfer the shares of Common Stock by other means not described in this prospectus. 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pledge or grant a security interest in some or all of the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Securityholder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Securityholders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including, without limitation, Securities and Exchange Commission filing fees and expenses of compliance with state securities or “blue sky” laws; provided, however, a Selling Securityholder will pay all underwriting discounts and selling commissions, if any. We will indemnify the Selling Securityholders against liabilities, including some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BP_020"/>
      <w:bookmarkEnd w:id="2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as to matters of Delaware law, for us by Reed Smith LLP.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BP_021"/>
      <w:bookmarkEnd w:id="22"/>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Silvia, Inc. as of December 31, 2025 and for the period from June 17, 2025 (inception) through December 31, 2025 included in this prospectus have been so included in reliance on the report (which contains an explanatory paragraph regarding the Company’s ability to continue as a going concern) of MaloneBailey,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BP_022"/>
      <w:bookmarkEnd w:id="23"/>
      <w:r>
        <w:rPr>
          <w:rFonts w:ascii="Times New Roman;Times;Serif" w:hAnsi="Times New Roman;Times;Serif"/>
          <w:b/>
          <w:i w:val="false"/>
          <w:caps w:val="false"/>
          <w:smallCaps w:val="false"/>
          <w:sz w:val="20"/>
        </w:rPr>
        <w:t>CHANGE OF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Audit Committee approved the dismissal of MaloneBailey, LLP as our independent registered public accounting firm and approved the engagement of BDO USA, P.C. as our independent registered public accounting firm for the fiscal year ending December 31, 2026. The audit report of MaloneBailey on our consolidated financial statements for the period from June 17, 2025 (inception) through December 31, 2025 did not contain an adverse opinion or a disclaimer of opinion and was not qualified or modified as to uncertainty, audit scope or accounting principles. For that period and the subsequent interim period through the date of dismissal, there were no disagreements with MaloneBailey on any matter of accounting principles or practices, financial statement disclosure or auditing scope or procedure, and no reportable events, other than the previously disclosed material weakness in our internal control over financial reporting relating to (i) inadequate segregation of duties and effective risk assessment and (ii) insufficient written policies and procedures for accounting and financial reporting with respect to the requirements and application of both generally accepted accounting principles and SEC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and the subsequent interim period through the date of BDO’s engagement, neither the Company nor anyone acting on its behalf consulted with BDO regarding (i) the application of accounting principles to a specified transaction, either completed or proposed, or the type of audit opinion that might be rendered on the Company’s financial statements, and no written report or oral advice was provided to the Company by BDO that was an important factor considered by the Company in reaching a decision as to any accounting, auditing, or financial reporting issue, or (ii) any matter that was either the subject of a disagreement (as defined in Item 304(a)(1)(iv) of Regulation S-K and the related instructions thereto) or a “reportable event” (as defined in Item 304(a)(1)(v)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BP_023"/>
      <w:bookmarkEnd w:id="2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We have also filed with the SEC a registration statement on Form S-1, including exhibits, under the Securities Act with respect to the shares of Common Stock offered by this prospectus, and a Post-Effective Amendment to that registration statement.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Those filings are also available to the public on, or accessible through, our website under the heading “Investor Relations” at </w:t>
      </w:r>
      <w:r>
        <w:rPr>
          <w:rFonts w:ascii="Times New Roman;Times;Serif" w:hAnsi="Times New Roman;Times;Serif"/>
          <w:b w:val="false"/>
          <w:i/>
          <w:caps w:val="false"/>
          <w:smallCaps w:val="false"/>
          <w:sz w:val="20"/>
        </w:rPr>
        <w:t>www.silvia.com</w:t>
      </w:r>
      <w:r>
        <w:rPr>
          <w:rFonts w:ascii="Times New Roman;Times;Serif" w:hAnsi="Times New Roman;Times;Serif"/>
          <w:b w:val="false"/>
          <w:i w:val="false"/>
          <w:caps w:val="false"/>
          <w:smallCaps w:val="false"/>
          <w:sz w:val="20"/>
        </w:rPr>
        <w:t>. The information on our web site, however, is not, and should not be deemed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BP_024"/>
      <w:bookmarkEnd w:id="2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9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Consolidated Financial Statements of Silvia, Inc.:</w:t>
            </w:r>
          </w:p>
        </w:tc>
        <w:tc>
          <w:tcPr>
            <w:tcW w:w="530" w:type="dxa"/>
            <w:tcBorders/>
            <w:shd w:fill="CCEEFF" w:val="clear"/>
            <w:vAlign w:val="center"/>
          </w:tcPr>
          <w:p>
            <w:pPr>
              <w:pStyle w:val="TableContents"/>
              <w:bidi w:val="0"/>
              <w:spacing w:before="0" w:after="283"/>
              <w:jc w:val="center"/>
              <w:rPr/>
            </w:pPr>
            <w:r>
              <w:rPr/>
              <w:t> </w:t>
            </w:r>
          </w:p>
        </w:tc>
      </w:tr>
      <w:tr>
        <w:trPr/>
        <w:tc>
          <w:tcPr>
            <w:tcW w:w="9675" w:type="dxa"/>
            <w:tcBorders/>
            <w:shd w:fill="FFFFFF" w:val="clear"/>
            <w:vAlign w:val="center"/>
          </w:tcPr>
          <w:p>
            <w:pPr>
              <w:pStyle w:val="TableContents"/>
              <w:bidi w:val="0"/>
              <w:spacing w:before="0" w:after="283"/>
              <w:jc w:val="left"/>
              <w:rPr/>
            </w:pPr>
            <w:hyperlink w:anchor="Ra_001">
              <w:r>
                <w:rPr>
                  <w:rStyle w:val="InternetLink"/>
                </w:rPr>
                <w:t>Report of Independent Registered Public Accounting Firm</w:t>
              </w:r>
            </w:hyperlink>
            <w:r>
              <w:rPr/>
              <w:t xml:space="preserve"> (PCAOB ID No. 206)</w:t>
            </w:r>
          </w:p>
        </w:tc>
        <w:tc>
          <w:tcPr>
            <w:tcW w:w="530" w:type="dxa"/>
            <w:tcBorders/>
            <w:shd w:fill="FFFFFF" w:val="clear"/>
            <w:vAlign w:val="center"/>
          </w:tcPr>
          <w:p>
            <w:pPr>
              <w:pStyle w:val="TableContents"/>
              <w:bidi w:val="0"/>
              <w:spacing w:before="0" w:after="283"/>
              <w:jc w:val="center"/>
              <w:rPr/>
            </w:pPr>
            <w:r>
              <w:rPr/>
              <w:t>F-2</w:t>
            </w:r>
          </w:p>
        </w:tc>
      </w:tr>
      <w:tr>
        <w:trPr/>
        <w:tc>
          <w:tcPr>
            <w:tcW w:w="9675" w:type="dxa"/>
            <w:tcBorders/>
            <w:shd w:fill="CCEEFF" w:val="clear"/>
            <w:vAlign w:val="center"/>
          </w:tcPr>
          <w:p>
            <w:pPr>
              <w:pStyle w:val="TableContents"/>
              <w:bidi w:val="0"/>
              <w:spacing w:before="0" w:after="283"/>
              <w:jc w:val="left"/>
              <w:rPr/>
            </w:pPr>
            <w:hyperlink w:anchor="px_001">
              <w:r>
                <w:rPr>
                  <w:rStyle w:val="InternetLink"/>
                  <w:rFonts w:ascii="Times New Roman;Times;Serif" w:hAnsi="Times New Roman;Times;Serif"/>
                </w:rPr>
                <w:t>Consolidated Balance Sheet as of December 31, 2025</w:t>
              </w:r>
            </w:hyperlink>
          </w:p>
        </w:tc>
        <w:tc>
          <w:tcPr>
            <w:tcW w:w="530" w:type="dxa"/>
            <w:tcBorders/>
            <w:shd w:fill="CCEEFF" w:val="clear"/>
            <w:vAlign w:val="center"/>
          </w:tcPr>
          <w:p>
            <w:pPr>
              <w:pStyle w:val="TableContents"/>
              <w:bidi w:val="0"/>
              <w:spacing w:before="0" w:after="283"/>
              <w:jc w:val="center"/>
              <w:rPr/>
            </w:pPr>
            <w:r>
              <w:rPr/>
              <w:t>F-3</w:t>
            </w:r>
          </w:p>
        </w:tc>
      </w:tr>
      <w:tr>
        <w:trPr/>
        <w:tc>
          <w:tcPr>
            <w:tcW w:w="9675" w:type="dxa"/>
            <w:tcBorders/>
            <w:shd w:fill="FFFFFF" w:val="clear"/>
            <w:vAlign w:val="center"/>
          </w:tcPr>
          <w:p>
            <w:pPr>
              <w:pStyle w:val="TableContents"/>
              <w:bidi w:val="0"/>
              <w:spacing w:before="0" w:after="283"/>
              <w:jc w:val="both"/>
              <w:rPr/>
            </w:pPr>
            <w:hyperlink w:anchor="px_002">
              <w:r>
                <w:rPr>
                  <w:rStyle w:val="InternetLink"/>
                  <w:rFonts w:ascii="Times New Roman;Times;Serif" w:hAnsi="Times New Roman;Times;Serif"/>
                </w:rPr>
                <w:t>Consolidated Statement of Operations for the period from June 17, 2025 (inception) through December 31, 2025</w:t>
              </w:r>
            </w:hyperlink>
          </w:p>
        </w:tc>
        <w:tc>
          <w:tcPr>
            <w:tcW w:w="530" w:type="dxa"/>
            <w:tcBorders/>
            <w:shd w:fill="FFFFFF" w:val="clear"/>
            <w:vAlign w:val="center"/>
          </w:tcPr>
          <w:p>
            <w:pPr>
              <w:pStyle w:val="TableContents"/>
              <w:bidi w:val="0"/>
              <w:spacing w:before="0" w:after="283"/>
              <w:jc w:val="center"/>
              <w:rPr/>
            </w:pPr>
            <w:r>
              <w:rPr/>
              <w:t>F-4</w:t>
            </w:r>
          </w:p>
        </w:tc>
      </w:tr>
      <w:tr>
        <w:trPr/>
        <w:tc>
          <w:tcPr>
            <w:tcW w:w="9675" w:type="dxa"/>
            <w:tcBorders/>
            <w:shd w:fill="CCEEFF" w:val="clear"/>
            <w:vAlign w:val="center"/>
          </w:tcPr>
          <w:p>
            <w:pPr>
              <w:pStyle w:val="TableContents"/>
              <w:bidi w:val="0"/>
              <w:spacing w:before="0" w:after="283"/>
              <w:jc w:val="both"/>
              <w:rPr/>
            </w:pPr>
            <w:hyperlink w:anchor="px_003">
              <w:r>
                <w:rPr>
                  <w:rStyle w:val="InternetLink"/>
                  <w:rFonts w:ascii="Times New Roman;Times;Serif" w:hAnsi="Times New Roman;Times;Serif"/>
                </w:rPr>
                <w:t>Consolidated Statement of Changes in Stockholders’ Equity for the period from June 17, 2025 (inception) through December 31, 2025</w:t>
              </w:r>
            </w:hyperlink>
          </w:p>
        </w:tc>
        <w:tc>
          <w:tcPr>
            <w:tcW w:w="530" w:type="dxa"/>
            <w:tcBorders/>
            <w:shd w:fill="CCEEFF" w:val="clear"/>
            <w:vAlign w:val="center"/>
          </w:tcPr>
          <w:p>
            <w:pPr>
              <w:pStyle w:val="TableContents"/>
              <w:bidi w:val="0"/>
              <w:spacing w:before="0" w:after="283"/>
              <w:jc w:val="center"/>
              <w:rPr/>
            </w:pPr>
            <w:r>
              <w:rPr/>
              <w:t>F-5</w:t>
            </w:r>
          </w:p>
        </w:tc>
      </w:tr>
      <w:tr>
        <w:trPr/>
        <w:tc>
          <w:tcPr>
            <w:tcW w:w="9675" w:type="dxa"/>
            <w:tcBorders/>
            <w:shd w:fill="FFFFFF" w:val="clear"/>
            <w:vAlign w:val="center"/>
          </w:tcPr>
          <w:p>
            <w:pPr>
              <w:pStyle w:val="TableContents"/>
              <w:bidi w:val="0"/>
              <w:spacing w:before="0" w:after="283"/>
              <w:jc w:val="both"/>
              <w:rPr/>
            </w:pPr>
            <w:hyperlink w:anchor="px_004">
              <w:r>
                <w:rPr>
                  <w:rStyle w:val="InternetLink"/>
                  <w:rFonts w:ascii="Times New Roman;Times;Serif" w:hAnsi="Times New Roman;Times;Serif"/>
                </w:rPr>
                <w:t>Consolidated Statement of Cash Flows for the period from June 17, 2025 (inception) through December 31, 2025</w:t>
              </w:r>
            </w:hyperlink>
          </w:p>
        </w:tc>
        <w:tc>
          <w:tcPr>
            <w:tcW w:w="530" w:type="dxa"/>
            <w:tcBorders/>
            <w:shd w:fill="FFFFFF" w:val="clear"/>
            <w:vAlign w:val="center"/>
          </w:tcPr>
          <w:p>
            <w:pPr>
              <w:pStyle w:val="TableContents"/>
              <w:bidi w:val="0"/>
              <w:spacing w:before="0" w:after="283"/>
              <w:jc w:val="center"/>
              <w:rPr/>
            </w:pPr>
            <w:r>
              <w:rPr/>
              <w:t>F-6</w:t>
            </w:r>
          </w:p>
        </w:tc>
      </w:tr>
      <w:tr>
        <w:trPr/>
        <w:tc>
          <w:tcPr>
            <w:tcW w:w="9675" w:type="dxa"/>
            <w:tcBorders/>
            <w:shd w:fill="CCEEFF" w:val="clear"/>
            <w:vAlign w:val="center"/>
          </w:tcPr>
          <w:p>
            <w:pPr>
              <w:pStyle w:val="TableContents"/>
              <w:bidi w:val="0"/>
              <w:spacing w:before="0" w:after="283"/>
              <w:jc w:val="both"/>
              <w:rPr/>
            </w:pPr>
            <w:hyperlink w:anchor="px_005">
              <w:r>
                <w:rPr>
                  <w:rStyle w:val="InternetLink"/>
                  <w:rFonts w:ascii="Times New Roman;Times;Serif" w:hAnsi="Times New Roman;Times;Serif"/>
                </w:rPr>
                <w:t>Notes to Consolidated Financial Statements</w:t>
              </w:r>
            </w:hyperlink>
          </w:p>
        </w:tc>
        <w:tc>
          <w:tcPr>
            <w:tcW w:w="530" w:type="dxa"/>
            <w:tcBorders/>
            <w:shd w:fill="CCEEFF" w:val="clear"/>
            <w:vAlign w:val="center"/>
          </w:tcPr>
          <w:p>
            <w:pPr>
              <w:pStyle w:val="TableContents"/>
              <w:bidi w:val="0"/>
              <w:spacing w:before="0" w:after="283"/>
              <w:jc w:val="center"/>
              <w:rPr/>
            </w:pPr>
            <w:r>
              <w:rPr/>
              <w:t>F-7</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 of Silvia, Inc.:</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F-30</w:t>
            </w:r>
          </w:p>
        </w:tc>
      </w:tr>
      <w:tr>
        <w:trPr/>
        <w:tc>
          <w:tcPr>
            <w:tcW w:w="975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the Period from June 10, 2025 (Inception) through June 30,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F-31</w:t>
            </w:r>
          </w:p>
        </w:tc>
      </w:tr>
      <w:tr>
        <w:trPr/>
        <w:tc>
          <w:tcPr>
            <w:tcW w:w="9750"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the Period from June 10, 2025 (Inception) through June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F-32</w:t>
            </w:r>
          </w:p>
        </w:tc>
      </w:tr>
      <w:tr>
        <w:trPr/>
        <w:tc>
          <w:tcPr>
            <w:tcW w:w="975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the Period from June 10, 2025 (Inception) through June 30,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50"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Ra_001"/>
      <w:bookmarkEnd w:id="2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ProCap Financial, Inc. and its subsidiaries (collectively, the “Company”) as of December 31, 2025, and the related consolidated statements of operations, changes in stockholders’ equity, and cash flows for the year then ended, and the related notes (collectively referred to as the “financial statements”). In our opinion, the financial statements present fairly, in all material respects, the financial position of the Company as of December 31, 2025, and the results of their operations and their cash flows for the year then ended, in conformity with accounting principles generally accepted in the United States of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4385"/>
        <w:gridCol w:w="60"/>
      </w:tblGrid>
      <w:tr>
        <w:trPr/>
        <w:tc>
          <w:tcPr>
            <w:tcW w:w="43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MaloneBailey, LLP</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www.malonebailey.com</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served as the Company’s auditor since 2025.</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Houston, Texas</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18, 2026</w:t>
            </w:r>
          </w:p>
        </w:tc>
        <w:tc>
          <w:tcPr>
            <w:tcW w:w="60" w:type="dxa"/>
            <w:tcBorders/>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px_001"/>
      <w:bookmarkEnd w:id="27"/>
      <w:r>
        <w:rPr>
          <w:rFonts w:ascii="Times New Roman;Times;Serif" w:hAnsi="Times New Roman;Times;Serif"/>
          <w:b/>
          <w:i w:val="false"/>
          <w:caps w:val="false"/>
          <w:smallCaps w:val="false"/>
          <w:sz w:val="20"/>
        </w:rPr>
        <w:t>CONSOLIDATED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74"/>
        <w:gridCol w:w="60"/>
        <w:gridCol w:w="170"/>
        <w:gridCol w:w="1489"/>
        <w:gridCol w:w="112"/>
      </w:tblGrid>
      <w:tr>
        <w:trPr/>
        <w:tc>
          <w:tcPr>
            <w:tcW w:w="8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19,973,574</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25,002,553</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149,885,332</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1,863,216</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197,027,064</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52,113</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non-current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16,250</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638,886,743</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1,829,984</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2,259,220</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214,171,908</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218,710,068</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50,000,000 authorized shares; no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$0.001 par value, 550,000,000 authorized shares; 85,166,604 shares issued and 84,327,208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85,167</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451,913,639</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839,396 shares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420,176,675</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638,886,743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px_002"/>
      <w:bookmarkEnd w:id="28"/>
      <w:r>
        <w:rPr>
          <w:rFonts w:ascii="Times New Roman;Times;Serif" w:hAnsi="Times New Roman;Times;Serif"/>
          <w:b/>
          <w:i w:val="false"/>
          <w:caps w:val="false"/>
          <w:smallCaps w:val="false"/>
          <w:sz w:val="20"/>
        </w:rPr>
        <w:t>CONSOLIDATED STATEMENT OF OPERATIONS</w:t>
      </w:r>
    </w:p>
    <w:p>
      <w:pPr>
        <w:pStyle w:val="TextBody"/>
        <w:bidi w:val="0"/>
        <w:spacing w:before="0" w:after="0"/>
        <w:ind w:left="0" w:right="0" w:hanging="0"/>
        <w:jc w:val="center"/>
        <w:rPr>
          <w:caps w:val="false"/>
          <w:smallCaps w:val="false"/>
        </w:rPr>
      </w:pPr>
      <w:r>
        <w:rPr>
          <w:caps w:val="false"/>
          <w:smallCaps w:val="false"/>
        </w:rPr>
        <w:t> </w:t>
      </w:r>
    </w:p>
    <w:tbl>
      <w:tblPr>
        <w:tblW w:w="10199" w:type="dxa"/>
        <w:jc w:val="left"/>
        <w:tblInd w:w="0" w:type="dxa"/>
        <w:tblLayout w:type="fixed"/>
        <w:tblCellMar>
          <w:top w:w="0" w:type="dxa"/>
          <w:left w:w="0" w:type="dxa"/>
          <w:bottom w:w="0" w:type="dxa"/>
          <w:right w:w="0" w:type="dxa"/>
        </w:tblCellMar>
      </w:tblPr>
      <w:tblGrid>
        <w:gridCol w:w="7985"/>
        <w:gridCol w:w="60"/>
        <w:gridCol w:w="217"/>
        <w:gridCol w:w="1827"/>
        <w:gridCol w:w="110"/>
      </w:tblGrid>
      <w:tr>
        <w:trPr/>
        <w:tc>
          <w:tcPr>
            <w:tcW w:w="7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7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(7,987,378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sale of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Unrealized (loss) gain on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conversion feature - preferred units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259,942</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 net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(20,988,126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Income Before Taxes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sz w:val="4"/>
                <w:szCs w:val="4"/>
              </w:rPr>
            </w:pPr>
            <w:r>
              <w:rPr>
                <w:sz w:val="4"/>
                <w:szCs w:val="4"/>
              </w:rPr>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 benefit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sz w:val="4"/>
                <w:szCs w:val="4"/>
              </w:rPr>
            </w:pPr>
            <w:r>
              <w:rPr>
                <w:sz w:val="4"/>
                <w:szCs w:val="4"/>
              </w:rPr>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73,685,031</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x_003"/>
      <w:bookmarkEnd w:id="29"/>
      <w:r>
        <w:rPr>
          <w:rFonts w:ascii="Times New Roman;Times;Serif" w:hAnsi="Times New Roman;Times;Serif"/>
          <w:b/>
          <w:i w:val="false"/>
          <w:caps w:val="false"/>
          <w:smallCaps w:val="false"/>
          <w:sz w:val="20"/>
        </w:rPr>
        <w:t>CONSOLIDATED STATEMENT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tbl>
      <w:tblPr>
        <w:tblW w:w="12611" w:type="dxa"/>
        <w:jc w:val="left"/>
        <w:tblInd w:w="0" w:type="dxa"/>
        <w:tblLayout w:type="fixed"/>
        <w:tblCellMar>
          <w:top w:w="0" w:type="dxa"/>
          <w:left w:w="0" w:type="dxa"/>
          <w:bottom w:w="0" w:type="dxa"/>
          <w:right w:w="0" w:type="dxa"/>
        </w:tblCellMar>
      </w:tblPr>
      <w:tblGrid>
        <w:gridCol w:w="1415"/>
        <w:gridCol w:w="60"/>
        <w:gridCol w:w="273"/>
        <w:gridCol w:w="437"/>
        <w:gridCol w:w="118"/>
        <w:gridCol w:w="118"/>
        <w:gridCol w:w="509"/>
        <w:gridCol w:w="351"/>
        <w:gridCol w:w="60"/>
        <w:gridCol w:w="60"/>
        <w:gridCol w:w="60"/>
        <w:gridCol w:w="1100"/>
        <w:gridCol w:w="60"/>
        <w:gridCol w:w="60"/>
        <w:gridCol w:w="146"/>
        <w:gridCol w:w="714"/>
        <w:gridCol w:w="60"/>
        <w:gridCol w:w="60"/>
        <w:gridCol w:w="60"/>
        <w:gridCol w:w="875"/>
        <w:gridCol w:w="95"/>
        <w:gridCol w:w="60"/>
        <w:gridCol w:w="140"/>
        <w:gridCol w:w="1055"/>
        <w:gridCol w:w="95"/>
        <w:gridCol w:w="60"/>
        <w:gridCol w:w="140"/>
        <w:gridCol w:w="1220"/>
        <w:gridCol w:w="95"/>
        <w:gridCol w:w="60"/>
        <w:gridCol w:w="145"/>
        <w:gridCol w:w="1225"/>
        <w:gridCol w:w="95"/>
        <w:gridCol w:w="60"/>
        <w:gridCol w:w="140"/>
        <w:gridCol w:w="1220"/>
        <w:gridCol w:w="110"/>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17, 2025 (inception)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units pursuant to the Investment Consulting and Marketing Services Agreement, as recasted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preferred units, net of equity issuance costs, as recasted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487,443,979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487,507,479</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preferred units, net of equity of issuance costs, related party, as recasted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8,156,050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8,157,113</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stock upon consummation of the Business Combination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10,604,104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12,180,067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units to common stock at carrying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451,913,639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420,176,675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px_004"/>
      <w:bookmarkEnd w:id="30"/>
      <w:r>
        <w:rPr>
          <w:rFonts w:ascii="Times New Roman;Times;Serif" w:hAnsi="Times New Roman;Times;Serif"/>
          <w:b/>
          <w:i w:val="false"/>
          <w:caps w:val="false"/>
          <w:smallCaps w:val="false"/>
          <w:sz w:val="20"/>
        </w:rPr>
        <w:t>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0"/>
        <w:gridCol w:w="60"/>
        <w:gridCol w:w="182"/>
        <w:gridCol w:w="1691"/>
        <w:gridCol w:w="112"/>
      </w:tblGrid>
      <w:tr>
        <w:trPr/>
        <w:tc>
          <w:tcPr>
            <w:tcW w:w="8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securities liability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conversion feature -preferred units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sale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32,469</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(1,879,466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1,829,984</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investors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111,981</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(7,491,814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(983,296,700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digital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462,036,316</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CFO Silvia, net of cash acquired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fixed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(521,344,966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promissory note,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1,777,581</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promissory note, related party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Convertible Notes, net of debt discount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227,950,000</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(9,682,916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534,500</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preferred units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reverse recapitalization,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units,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487,507,479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units by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8,157,113</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723,698,239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CHANGE IN CASH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b/>
              </w:rPr>
            </w:pPr>
            <w:r>
              <w:rPr>
                <w:b/>
              </w:rPr>
              <w:t>Reconciliation of cash, cash equivalents, and restricted cash to the consolidated balance sheet: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1691" w:type="dxa"/>
            <w:tcBorders/>
            <w:shd w:fill="FFFFFF" w:val="clear"/>
            <w:vAlign w:val="center"/>
          </w:tcPr>
          <w:p>
            <w:pPr>
              <w:pStyle w:val="TableContents"/>
              <w:bidi w:val="0"/>
              <w:spacing w:before="0" w:after="283"/>
              <w:jc w:val="right"/>
              <w:rPr/>
            </w:pPr>
            <w:r>
              <w:rPr/>
              <w:t>19,973,574</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25,002,553</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pPr>
            <w:r>
              <w:rPr/>
              <w:t>149,885,332</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b/>
              </w:rPr>
            </w:pPr>
            <w:r>
              <w:rPr>
                <w:b/>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pPr>
            <w:r>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111,981</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4,629,230</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units to common stock</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pPr>
            <w:r>
              <w:rPr/>
              <w:t>Issuance of common units pursuant to the Investment Consulting and Marketing Services Agreement, as recasted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pPr>
            <w:r>
              <w:rPr/>
              <w:t>10,000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px_005"/>
      <w:bookmarkEnd w:id="31"/>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together with its subsidiaries (collectively, the “Company” or “ProCap” or “Pubco”), formerly known as Columbus Circle Capital Corp I (“CCCM”), was incorporated in Delaware on June 17, 2025. The Company has two wholly owned subsidiaries, ProCap BTC, LLC and Columbus Circle Capital Corp I. The Company holds Bitcoin as its primary treasury reserve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(the “Business Combination”) contemplated by the business combination agreement (the “Business Combination Agreement” and, together with the convertible note financing, the “Transactions”) by and among CCCM, ProCap, Crius SPAC Merger Sub, Inc., a Delaware corporation and a wholly owned subsidiary of the Company (“SPAC Merger Sub”), Crius Merger Sub, LLC, a Delaware limited liability company and a wholly owned subsidiary of the Company (“Company Merger Sub”), ProCap BTC, LLC, a Delaware limited liability company (“ProCap BTC”) and Inflection Points Inc d/b/a Professional Capital Management, a Delaware corporation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Generally Accepted Accounting Principles in the United States of America (“GAAP”). Under this method of accounting, although CCCM acquired the outstanding equity of the Company in the Business Combination, CCCM was treated as the “acquired company” and ProCap was treated as the accounting acquirer for financial statement purposes. Accordingly, the Business Combination was treated as the equivalent of ProCap issuing stock for the net assets of CCCM, accompanied by a recapitalization. The net assets of CCCM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ProCap became the historical financial statements of the Company upon the consummation of the merger. As a result, the financial statements included in this Annual Report reflect (i) the historical operating results of ProCap and Procap BTC prior to the merger; (ii) the combined results of CCCM and ProCap following the close of the merger; (iii) the assets and liabilities of CCCM at their historical cost and (iv) ProCap’s equity structure for all periods presented, as affected by the recapitalization presentation after completion of the merger. See Note 4 - Recapitalization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$44,976,127 in cash and cash equivalents, $149,885,332 in restricted cash and working capital of $194,767,844. Restricted cash primarily relates to collateral requirements under the Company’s convertible notes and written Bitcoin put option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the Company reported a net loss of $28,975,504. This net loss was primarily driven by factors that are inherently volatile and subject to market conditions, including:</w:t>
      </w:r>
    </w:p>
    <w:p>
      <w:pPr>
        <w:pStyle w:val="TextBody"/>
        <w:bidi w:val="0"/>
        <w:spacing w:before="0" w:after="0"/>
        <w:ind w:left="0" w:right="0" w:hanging="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losses related to Bitcoin holdings due to fluctuations in the market price of Bitcoin;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the business combination and operating as a public company.</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the Company’s results of operations may fluctuate significantly from period to period, as discussed further in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and issued convertible notes in the aggregate principal amount of $235,000,000 for an aggregate purchase price equal to 97% of the aggregate principal amount of the convertible notes (See Note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cash and cash equivalents balance of $44,976,127, and the Company’s Bitcoin holdings, the Company has determined that the Company’s sources of liquidity will be sufficient to meet the Company’s needs for the one-year period from the issuance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all adjustments including normal recurring adjustments, which, in the opinion of the Company’s management, are necessary to present fairly the financial position, results of operations, and cash flows for the period presented in accordance with GAAP. References to GAAP issued by the Financial Accounting Standards Board (“FASB”) in these accompanying notes to the consolidated financial statements are to the FASB Accounting Standards Codification (“ASC”). References in the accompanying notes to accounting guidance issued by FASB are to the FASB Accounting Standards Codification (“ASC”). As this is the Company’s first annual reporting period, there are no prior-period consolidated financial statements for comparison. The consolidated financial statements include all information and disclosures required by U.S. GAAP for a complete set of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Procap Financial, Inc. and the Company’s wholly 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valuations of derivative liabilities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segment. The Company’s CODM is the Chief Executive Officer, who has ultimate responsibility for the operating performance of the Company and the allocation of resources. The CODM uses cash flows as the primary measure to manage the business and does not segment the business for internal reporting or decision making.</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cash equivalents, restricted cash, and Bitcoin. The Company maintains its cash, cash equivalents, restricted cash and Bitcoin with major financial institutions and reputed Bitcoin custodians. The Company’s cash consists of accounts held within financial institutions which, at times, may exceed federally insured limits. The cash balance in excess of the federally insured limits was $144,989,552 as of December 31, 2025. Accounts held through Bitcoin custodians, Anchorage Digital Bank and Bitgo Trust Company, which totaled $24,430,101, and cash equivalents money market treasury funds, which totaled $25,002,553, are not insured by the Federal Deposit Insurance Corporation. Our Bitcoin is held offline in cold storage with multiple third-party providers. As of December 31, 2025 approximately 50% of our Bitcoin was held at Anchorage Digital Bank and approximately 50% of our Bitcoin was held at Bitgo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date of three months or less when purchased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cash as restricted cash when it is held in a separate bank account and its withdrawal or general use is legally restricted, or when a portion of cash is designated as collateral. The Company had restricted cash of $149,885,332 as of December 31, 2025, which represented $145,239,552 set aside as collateral for the Convertible Notes (as defined in Note 8) and $4,645,780 required to be set aside as collateral for the derivative security, refer to Note 14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stated at cost, less accumulated depreciation. Betterments, renewals, and extraordinary repairs that materially extend the useful life of the asset are capitalized; other repairs and maintenance charges are expensed as incurred. The Company includes equipment, furniture and fixtures, and leasehold improvements in the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depreciation expense is calculated using the straight-line method over the estimated useful lives of the related assets, which results in depreciation being incurred evenly over the life of an asset. Fully depreciated assets are retained in property and accumulated depreciation accounts until they are removed from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in prepaid expenses payments made in advance for goods and services for which the Company will receive a future benefit. Prepaid expenses are recorded at cost and are expensed over the period in which the benefit is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assets and liabilities are accounted for in accordance with FASB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market-based inputs, other than quoted prices included in Level 1, for the assets or liabilities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in which there is little or no market data, which require the reporting entity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based on market data obtained from independent sources, while unobservable inputs are based on the Company’s market assumptions. Unobservable inputs require significant management judgment or estimation. In some cases, the inputs used to measure an asset or a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adoption of ASU 2023-08, Intangibles—Goodwill and Other—Crypto Assets (Subtopic 350-60): Accounting for and Disclosure of Crypto Assets (“ASU 2023-08”), the Company accounts for its qualifying crypto assets within the scope of ASC 350-60. Accordingly, such crypto assets are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digital assets is determined using the period-end closing price quoted on Coinbase, an active market, in accordance with ASC 820, Fair Value Measurement. Because digital asset markets operate on a continuous, 24-hour basis, the Company uses the price as of midnight Coordinated Universal Time (UTC) as of the reporting date. Quoted prices for identical digital assets in active markets represent Level 1 inputs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digital assets are recognized in change in fair value of digital assets within other income (loss) in the consolidated statement of operations. When the Company sells digital assets, realized gains or losses are measured as the difference between the cash proceeds received and the carrying value of the digital assets sold, as determined using the first-in, first-out (“FIFO”) method. Realized gains and losses are recorded in realized gain or loss on sale of digital assets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treasury strategy is to retain Bitcoin as its primary treasury reserve asset. Based on this strategy, the Company classifies its digital assets as non-current assets on the consolidated balance sheet. As of December 31, 2025, the Company held its Bitcoin with third-party custodians, consisting of approximately 2,500 Bitcoin held with Anchorage Digital Bank, N.A. and approximately 2,500 Bitcoin held with BitGo Trust Company, Inc. The Company retains control over the underlying digital assets held with these custodians. The Company has entered into derivative contracts, including Bitcoin selling put option contracts, as part of a broader Bitcoin treasury and income generating strategy to manage exposure to fluctuations in the market price of Bitcoin or for trading purposes. The put options sold provide the right to buy Bitcoin at a specified strike price on a stated maturity date. The contracts to date have been exchange-traded and may be cash-settled or physically settled. These instruments are accounted for separately as derivatives and are not considered digital assets. Gains and losses related to the derivative contracts are recognized in other income (expense) on the consolidated statement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payables and accrued expenses result primarily from the administration of the Company. The Company records accounts payable upon receipt of a vendor invoice. Accrued expenses are recognized when incurred, not when paid, to accurately reflect expenses within the period they relate to, ensuring proper matching under accrual basis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its financial instruments to determine if such instruments contain features that qualify as embedded derivatives per ASC 815, Derivatives and Hedging (“ASC 815”). The preferred units issued prior to the Business Combination contain certain features that meet the definition of an embedded derivative requiring bifurcation as a separate compound financial instrument (the “Derivative Liability”). The Derivative Liability was recorded at fair value upon entering into the LLC Agreement and was subsequently remeasured to fair value at each reporting period with the corresponding change in fair value recognized in Change in fair value of conversion feature - preferred units in the consolidated statement of operations. The conversion feature was initially valued and was remeasured using Black-Scholes pricing model. The Black-Scholes model requires the use of Level 3 unobservable inputs, primarily the current value of the underlying share, the exercise price of the option, and the estimated volatility of the value of the share over the life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a conversion feature that must be bifurcated and accounted for as a derivative instrument (the “Derivative Liability”) (See Note 8). The Derivative Liability was recorded at fair value upon the issuance of the Convertible Notes and is to be subsequently remeasures to fair value at each reporting period recognized in Change in fair value of convertible note conversion feature in the consolidated statement of operations. The Derivative Liability was initially valued and is remeasured using a Black-Scholes option pricing model. The Black-Scholes option pricing model requires the use of Level 3 unobservable inputs, primarily the current value of the underlying share and the Bitcoin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11 “Fair Value Measurements” for details regarding the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w:t>
      </w:r>
      <w:r>
        <w:rPr>
          <w:rFonts w:ascii="Times New Roman;Times;Serif" w:hAnsi="Times New Roman;Times;Serif"/>
          <w:b w:val="false"/>
          <w:i/>
          <w:caps w:val="false"/>
          <w:smallCaps w:val="false"/>
          <w:sz w:val="20"/>
        </w:rPr>
        <w:t>ASC 606, Revenue from Contracts with Customers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ASC 606</w:t>
      </w:r>
      <w:r>
        <w:rPr>
          <w:rFonts w:ascii="Times New Roman;Times;Serif" w:hAnsi="Times New Roman;Times;Serif"/>
          <w:b w:val="false"/>
          <w:i w:val="false"/>
          <w:caps w:val="false"/>
          <w:smallCaps w:val="false"/>
          <w:sz w:val="20"/>
        </w:rPr>
        <w:t>”). Revenue is recognized when control of promised services is transferred to customers in an amount that reflects the consideration to which the Company expects to be entitled in exchange for those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advertising and marketing services through weekly digital media placements, including audio, and social media advertisements. Revenue is recognized over time, as the customer simultaneously receives and consumes the benefits of the services as they are performed (ASC 606-10-25-27(a)). For contracts in which services are provided evenly over the term of the arrangement, the Company applies a time-elapsed (straight-line) measure of progress, as this method best reflects the pattern of satisfaction of the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Amounts invoiced and cash received upfront, but not yet earned are recorded as deferred revenue until the related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all contracts to determine performance obligations, transaction price, variable consideration (if any), and the existence of any significant financing components. The Company does not typically incur incremental costs to obtain contracts; therefore, no contract costs are capitalized under ASC 340-40.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represents amounts due from customers for services sold in the ordinary course of business and are initially recorded at the original invoice amount. Receivables are reported at net realizable value, net of an allowance for credit losses. The allowance is estimated using historical collection data, with uncollectible amounts written off when deemed uncollectable. The Company had accounts receivable of $45,000 as of December 31, 2025, and no recorded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amounts due from one customer make up the total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accounting classification of warrants it issues as either liability or equity classified by first assessing whether the warrants meet liability classification in accordance with ASC 480, </w:t>
      </w:r>
      <w:r>
        <w:rPr>
          <w:rFonts w:ascii="Times New Roman;Times;Serif" w:hAnsi="Times New Roman;Times;Serif"/>
          <w:b w:val="false"/>
          <w:i/>
          <w:caps w:val="false"/>
          <w:smallCaps w:val="false"/>
          <w:sz w:val="20"/>
        </w:rPr>
        <w:t>Accounting for Certain Financial Instruments with Characteristics of both Liabilities and Equity (</w:t>
      </w:r>
      <w:r>
        <w:rPr>
          <w:rFonts w:ascii="Times New Roman;Times;Serif" w:hAnsi="Times New Roman;Times;Serif"/>
          <w:b w:val="false"/>
          <w:i w:val="false"/>
          <w:caps w:val="false"/>
          <w:smallCaps w:val="false"/>
          <w:sz w:val="20"/>
        </w:rPr>
        <w:t xml:space="preserve">“ASC 480”), then in accordance with ASC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(“ASC 815”). Accordingly, the Company evaluated and classified the warrant instruments under equity treatment at their assigned values. There were no changes in the number of warrants issued and outstanding as of December 31, 2025 there are 12,500,000 Public Warrants and 352,500 Private Placement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issues convertible debt, it first evaluates the balance sheet classification of the convertible instrument in its entirety to determine (1) whether the instrument should be classified as a liability under ASC 480, and (2) whether the conversion feature should be accounted for separately from the host instrument. A conversion feature of a convertible debt instrument would be separated from the convertible instrument and classified as a derivative liability if the conversion feature, were it a standalone instrument, meets the definition of a derivative under ASC 815. When a conversion feature meets the definition of an embedded derivative, it would be separated from the host instrument and classified as a derivative liability carried on the consolidated balance sheet at fair value, with any changes in its fair value recognized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Convertible Notes as a long-term liability at face value net of debt discount and debt issuance costs. If any of the conditions to the convertibility of the Convertible Notes are satisfied, or the Convertible Notes become due within one year, then the Company may be required under applicable accounting standards to reclassify the carrying value of the Convertible Notes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related to the Convertible Notes were capitalized and recorded as a contra-liability and are presented net against the balance of the Convertible Notes on the consolidated balance sheet. Debt issuance costs consist of underwriting, legal and other direct costs related to the issuance of the Convertible Notes. The debt discount related to the Convertible Notes was capitalized and recorded as a contra-liability and is presented net against the balance of the Convertible Notes on the consolidated balance sheet. Debt issuance costs and debt discount are amortized to interest expense over the term of the Convertible Notes using the straight-line method which approximated the effective interest method using an effective interest rate of approximately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stock-based compensation awards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(“ASC 718”). ASC 718 requires companies to measure the cost of employee and non-employee services received in exchange for an award of an equity instrument to be recognized as expense in the statement of operations based on their grant award date fair values. Stock-based compensation expense is recognized on a straight-line basis over the requisite service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which requires presentation of basic and diluted earnings per share (“EPS”) on the face of the statement of operations for all entities with complex capital structures and requires a reconciliation of the numerator and the denominator of the basic EPS computation to the numerator and denominator of the diluted EPS. Basic net loss per share is computed by dividing net loss by the weighted average number of common stock outstanding for the period. It excludes the dilutive effects of any potentially issuable common shares. Diluted net loss per share is calculated by including any potentially dilutive share issuance in the denominator. For the period from June 17, 2025 (inception) through December 31, 2025, all potentially dilutive securities were not included in the calculation of diluted net loss per share as their effect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dilutive net loss per share for the period from June 17, 2025 (inception) through December 31,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Computation of Basic and Dilutive Net Loss Per Share</w:t>
      </w:r>
    </w:p>
    <w:tbl>
      <w:tblPr>
        <w:tblW w:w="10199" w:type="dxa"/>
        <w:jc w:val="left"/>
        <w:tblInd w:w="0" w:type="dxa"/>
        <w:tblLayout w:type="fixed"/>
        <w:tblCellMar>
          <w:top w:w="0" w:type="dxa"/>
          <w:left w:w="0" w:type="dxa"/>
          <w:bottom w:w="0" w:type="dxa"/>
          <w:right w:w="0" w:type="dxa"/>
        </w:tblCellMar>
      </w:tblPr>
      <w:tblGrid>
        <w:gridCol w:w="7985"/>
        <w:gridCol w:w="60"/>
        <w:gridCol w:w="217"/>
        <w:gridCol w:w="1827"/>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73,685,031</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As of December 31, 2025, common stock equivalents not included in the computation of net loss per share because their effect would be antidilutive included the following:</w:t>
      </w:r>
    </w:p>
    <w:p>
      <w:pPr>
        <w:pStyle w:val="TextBody"/>
        <w:shd w:fill="FFFFFF" w:val="clear"/>
        <w:bidi w:val="0"/>
        <w:jc w:val="both"/>
        <w:rPr>
          <w:caps w:val="false"/>
          <w:smallCaps w:val="false"/>
          <w:color w:val="242424"/>
        </w:rPr>
      </w:pPr>
      <w:r>
        <w:rPr>
          <w:caps w:val="false"/>
          <w:smallCaps w:val="false"/>
          <w:color w:val="242424"/>
        </w:rPr>
        <w:t> </w:t>
      </w:r>
    </w:p>
    <w:p>
      <w:pPr>
        <w:pStyle w:val="TextBody"/>
        <w:shd w:fill="FFFFFF" w:val="clear"/>
        <w:bidi w:val="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Schedule of Computation of Net Loss Per Common Stock</w:t>
      </w:r>
    </w:p>
    <w:tbl>
      <w:tblPr>
        <w:tblW w:w="4270" w:type="dxa"/>
        <w:jc w:val="left"/>
        <w:tblInd w:w="0" w:type="dxa"/>
        <w:tblLayout w:type="fixed"/>
        <w:tblCellMar>
          <w:top w:w="0" w:type="dxa"/>
          <w:left w:w="0" w:type="dxa"/>
          <w:bottom w:w="0" w:type="dxa"/>
          <w:right w:w="0" w:type="dxa"/>
        </w:tblCellMar>
      </w:tblPr>
      <w:tblGrid>
        <w:gridCol w:w="2975"/>
        <w:gridCol w:w="60"/>
        <w:gridCol w:w="60"/>
        <w:gridCol w:w="1100"/>
        <w:gridCol w:w="75"/>
      </w:tblGrid>
      <w:tr>
        <w:trPr/>
        <w:tc>
          <w:tcPr>
            <w:tcW w:w="29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2975" w:type="dxa"/>
            <w:tcBorders/>
            <w:shd w:fill="CCEEFF" w:val="clear"/>
            <w:vAlign w:val="center"/>
          </w:tcPr>
          <w:p>
            <w:pPr>
              <w:pStyle w:val="TableContents"/>
              <w:bidi w:val="0"/>
              <w:spacing w:before="0" w:after="283"/>
              <w:jc w:val="left"/>
              <w:rPr/>
            </w:pPr>
            <w:r>
              <w:rPr/>
              <w:t>Warrants (see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12,852,500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RSUs (see Note 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8,220,000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Convertible Notes (see Note 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18,071,500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39,144,000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FASB ASC 740,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 prescribes a recognition threshold and a measurement attribute for the financial statement recognition and the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Treasury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treasury stock using the cost method in accordance with U.S. GAAP. When the Company repurchases its own common stock, the purchase price, including any directly attributable transaction costs, is recorded as treasury stock, a reduction to stockholders’ equity. Treasury shares are not considered outstanding and therefore are excluded from the calculation of earnings per share and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treasury shares are reissued, the Company uses the average cost of the shares held in treasury to determine the cost basis. Any excess of the reissuance price over the cost of the shares is recorded as an increase to additional paid-in capital. If the reissuance price is below cost, the difference is first charged to additional paid-in capital to the extent of previous net gains from treasury stock transaction; any remaining shortfall is recorded as a reduction to retained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recognize gains or losses in the consolidated statement of operations from the purchase, reissuance or retirement of treasury stock. If treasury shares are formally retires, the Company reduces common stock and additional paid-in capital based on the original issuance amounts, with any difference between the carrying amount of the treasury shares and the amounts removed from equity recorded in retained earnings.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 Accounting for and Disclosure of Crypto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Accounting Standards Update (“ASU”) 2023-08, </w:t>
      </w:r>
      <w:r>
        <w:rPr>
          <w:rFonts w:ascii="Times New Roman;Times;Serif" w:hAnsi="Times New Roman;Times;Serif"/>
          <w:b w:val="false"/>
          <w:i/>
          <w:caps w:val="false"/>
          <w:smallCaps w:val="false"/>
          <w:sz w:val="20"/>
        </w:rPr>
        <w:t>Intangibles—Goodwill and Other—Crypto Assets (Subtopic 350-60): Accounting for and Disclosure of Crypto Assets</w:t>
      </w:r>
      <w:r>
        <w:rPr>
          <w:rFonts w:ascii="Times New Roman;Times;Serif" w:hAnsi="Times New Roman;Times;Serif"/>
          <w:b w:val="false"/>
          <w:i w:val="false"/>
          <w:caps w:val="false"/>
          <w:smallCaps w:val="false"/>
          <w:sz w:val="20"/>
        </w:rPr>
        <w:t>. ASU 2023-08 requires entities to subsequently measure certain crypto assets at fair value at each reporting date, with changes in fair value recognized in net income. The guidance also requires enhanced disclosures regarding significant crypto asset holdings. The Company adopted ASU 2023-08 effective June 17, 2025. Upon adoption, qualifying digital assets are measured at fair value as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ASU 2023-08 did not have a material impact on the Company’s consolidated financial position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 Accounting Pronouncements, not yet adopted: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The standard revises current guidance for determining the accounting acquirer for a transaction effected primarily by exchanging equity interests in which the legal acquiree is a variable interest entity (“VIE”) that meets the definition of a business. The amendments differ from current U.S.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the impact of the new standard on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Recapitalization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“Organization,” on December 5, 2025, the Company completed the Business Combination contemplated by the Business Combination Agreement dated June 23, 2025, by and among CCCM, SPAC Merger Sub, Company Merger Sub, ProCap BTC and the Seller, pursuant to which (i) SPAC Merger Sub merged with and into CCCM, with CCCM continuing as the surviving entity (the “SPAC Merger”) and (ii) Company Mer Sub merged with and into ProCap, with ProCap continuing as the surviving company (the “Company Merger”).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pursuant to the Business Combination Agreement and after giving effect to the redemption of shares of CCCM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consideration for the Company Merger, Seller and Jeffrey Park, who were holders of all the common units of ProCap, received 10,000,000 shares of common stock, par value $0.001 per share of the Company (“Pubco Stock”) (the “Common Merger Consideration Shares”). As consideration for the Company Merger, holders of the non-voting preferred units of ProCap received an aggregate number of Pubco Stock equal to the product of (A) the number of preferred units outstanding prior to the Company Merger multiplied by (B) 1.25, or 64,562,500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 consideration for the SPAC Merger, holders of shares of CCCM immediately prior to the SPAC Merger received 10,604,104 shares of Pubco Stock (“SPAC Consideration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CCCM was the legal acquirer of ProCap in the merger, ProCap is deemed to be the accounting acquirer, and the historical financial statements of ProCap became the basis for the historical financial statements of the Company upon the closing of the merger. ProCap was determined to be the accounting acquirer based on an evaluation of the following facts and circumstances: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current shareholders will hold a majority of the voting power of the Company post Business Combination;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Board consists of five individuals, one of which was elected by CCCM and four of which were elected by ProCap;</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operations substantially comprise the ongoing operations of the Company;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senior management comprises the senior management of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guidance applicable to these circumstances, the equity structure has been restated in all comparable periods up to December 5, 2025, to reflect the number of shares of the Company’s common stock, $0.001 par value per share, issued to ProCap’s stockholders in connection with the merger. As such, the shares and corresponding capital amounts and earnings per share related to ProCap’s units prior to the merger have been retroactively restated as shares reflecting the exchange ratio established in the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elements of the Business Combination to the consolidated statement of changes in stockholders’ equity for the year ended December 31, 2025:</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Business Combination to the Consolidated Statement of Changes in Equity</w:t>
      </w:r>
    </w:p>
    <w:tbl>
      <w:tblPr>
        <w:tblW w:w="5735" w:type="dxa"/>
        <w:jc w:val="left"/>
        <w:tblInd w:w="0" w:type="dxa"/>
        <w:tblLayout w:type="fixed"/>
        <w:tblCellMar>
          <w:top w:w="0" w:type="dxa"/>
          <w:left w:w="0" w:type="dxa"/>
          <w:bottom w:w="0" w:type="dxa"/>
          <w:right w:w="0" w:type="dxa"/>
        </w:tblCellMar>
      </w:tblPr>
      <w:tblGrid>
        <w:gridCol w:w="4325"/>
        <w:gridCol w:w="60"/>
        <w:gridCol w:w="140"/>
        <w:gridCol w:w="1100"/>
        <w:gridCol w:w="110"/>
      </w:tblGrid>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 trust and cash,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15,992,015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expenses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(3,790,701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the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12,201,314</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(liabilities) assumed from the SPAC: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64,357</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recapitalization,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Pubco Stock issued immediately following the consummation of the Business Combination were:</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Pubco Stock Issued</w:t>
      </w:r>
    </w:p>
    <w:tbl>
      <w:tblPr>
        <w:tblW w:w="10185" w:type="dxa"/>
        <w:jc w:val="left"/>
        <w:tblInd w:w="0" w:type="dxa"/>
        <w:tblLayout w:type="fixed"/>
        <w:tblCellMar>
          <w:top w:w="0" w:type="dxa"/>
          <w:left w:w="0" w:type="dxa"/>
          <w:bottom w:w="0" w:type="dxa"/>
          <w:right w:w="0" w:type="dxa"/>
        </w:tblCellMar>
      </w:tblPr>
      <w:tblGrid>
        <w:gridCol w:w="8780"/>
        <w:gridCol w:w="60"/>
        <w:gridCol w:w="60"/>
        <w:gridCol w:w="1175"/>
        <w:gridCol w:w="110"/>
      </w:tblGrid>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public shares outstanding prior to the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Columbus Circle Capital Corp I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(23,434,229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public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1,565,771</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founder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8,333,333</w:t>
            </w:r>
          </w:p>
        </w:tc>
        <w:tc>
          <w:tcPr>
            <w:tcW w:w="110" w:type="dxa"/>
            <w:tcBorders/>
            <w:shd w:fill="FFFFFF" w:val="clear"/>
            <w:vAlign w:val="center"/>
          </w:tcPr>
          <w:p>
            <w:pPr>
              <w:pStyle w:val="TableContents"/>
              <w:bidi w:val="0"/>
              <w:spacing w:before="0" w:after="283"/>
              <w:jc w:val="left"/>
              <w:rPr/>
            </w:pPr>
            <w:r>
              <w:rPr/>
              <w:t> </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private placement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265,000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representative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440,000</w:t>
            </w:r>
          </w:p>
        </w:tc>
        <w:tc>
          <w:tcPr>
            <w:tcW w:w="110" w:type="dxa"/>
            <w:tcBorders/>
            <w:shd w:fill="FFFFFF" w:val="clear"/>
            <w:vAlign w:val="center"/>
          </w:tcPr>
          <w:p>
            <w:pPr>
              <w:pStyle w:val="TableContents"/>
              <w:bidi w:val="0"/>
              <w:spacing w:before="0" w:after="283"/>
              <w:jc w:val="left"/>
              <w:rPr/>
            </w:pPr>
            <w:r>
              <w:rPr/>
              <w:t> </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combination shares – ProCap common shares after conversation ratio</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74,562,500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available immediately after the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85,166,604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ProCap shares was determined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ProCap Shares Details </w:t>
      </w:r>
    </w:p>
    <w:tbl>
      <w:tblPr>
        <w:tblW w:w="4048" w:type="dxa"/>
        <w:jc w:val="left"/>
        <w:tblInd w:w="0" w:type="dxa"/>
        <w:tblLayout w:type="fixed"/>
        <w:tblCellMar>
          <w:top w:w="0" w:type="dxa"/>
          <w:left w:w="0" w:type="dxa"/>
          <w:bottom w:w="0" w:type="dxa"/>
          <w:right w:w="0" w:type="dxa"/>
        </w:tblCellMar>
      </w:tblPr>
      <w:tblGrid>
        <w:gridCol w:w="920"/>
        <w:gridCol w:w="60"/>
        <w:gridCol w:w="64"/>
        <w:gridCol w:w="1185"/>
        <w:gridCol w:w="60"/>
        <w:gridCol w:w="60"/>
        <w:gridCol w:w="84"/>
        <w:gridCol w:w="1540"/>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ProCap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ProCap common</w:t>
            </w:r>
          </w:p>
          <w:p>
            <w:pPr>
              <w:pStyle w:val="TableContents"/>
              <w:bidi w:val="0"/>
              <w:spacing w:before="0" w:after="0"/>
              <w:jc w:val="center"/>
              <w:rPr>
                <w:rFonts w:ascii="Times New Roman;Times;Serif" w:hAnsi="Times New Roman;Times;Serif"/>
              </w:rPr>
            </w:pPr>
            <w:r>
              <w:rPr>
                <w:rFonts w:ascii="Times New Roman;Times;Serif" w:hAnsi="Times New Roman;Times;Serif"/>
              </w:rPr>
              <w:t>shares after</w:t>
            </w:r>
          </w:p>
          <w:p>
            <w:pPr>
              <w:pStyle w:val="TableContents"/>
              <w:bidi w:val="0"/>
              <w:spacing w:before="0" w:after="0"/>
              <w:jc w:val="center"/>
              <w:rPr>
                <w:rFonts w:ascii="Times New Roman;Times;Serif" w:hAnsi="Times New Roman;Times;Serif"/>
              </w:rPr>
            </w:pPr>
            <w:r>
              <w:rPr>
                <w:rFonts w:ascii="Times New Roman;Times;Serif" w:hAnsi="Times New Roman;Times;Serif"/>
              </w:rPr>
              <w:t>conversion ratio</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64,562,500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74,562,500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placement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12,500,000 public warrants issued at the time of CCCM’s initial public offering (the “Public Warrants”) and the 352,500 warrants issued in connection with the private placement at the time of CCCM’s initial public offering (the “Private Placement Warrants”) remained outstanding and became warrants for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certain CCCM shareholders exercised their right to redeem certain of their outstanding shares for cash, resulting in the redemption of 23,434,229 ordinary shares of CCCM for an aggregate payment of $239,345,691.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basis represents the average cost at the time the Company purchased the Bitcoin.</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Significant Digital Assets Holdings</w:t>
      </w:r>
    </w:p>
    <w:tbl>
      <w:tblPr>
        <w:tblW w:w="4545" w:type="dxa"/>
        <w:jc w:val="left"/>
        <w:tblInd w:w="0" w:type="dxa"/>
        <w:tblLayout w:type="fixed"/>
        <w:tblCellMar>
          <w:top w:w="0" w:type="dxa"/>
          <w:left w:w="0" w:type="dxa"/>
          <w:bottom w:w="0" w:type="dxa"/>
          <w:right w:w="0" w:type="dxa"/>
        </w:tblCellMar>
      </w:tblPr>
      <w:tblGrid>
        <w:gridCol w:w="530"/>
        <w:gridCol w:w="60"/>
        <w:gridCol w:w="60"/>
        <w:gridCol w:w="860"/>
        <w:gridCol w:w="60"/>
        <w:gridCol w:w="60"/>
        <w:gridCol w:w="140"/>
        <w:gridCol w:w="1220"/>
        <w:gridCol w:w="60"/>
        <w:gridCol w:w="60"/>
        <w:gridCol w:w="140"/>
        <w:gridCol w:w="1220"/>
        <w:gridCol w:w="7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466,796,700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fair values of the Company’s digital assets held for the period from June 17, 2025 (inception) through December 31, 2025, based on the fair value model under ASU 2023-08:</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Reconciliation of digital assets</w:t>
      </w:r>
    </w:p>
    <w:tbl>
      <w:tblPr>
        <w:tblW w:w="6275" w:type="dxa"/>
        <w:jc w:val="left"/>
        <w:tblInd w:w="0" w:type="dxa"/>
        <w:tblLayout w:type="fixed"/>
        <w:tblCellMar>
          <w:top w:w="0" w:type="dxa"/>
          <w:left w:w="0" w:type="dxa"/>
          <w:bottom w:w="0" w:type="dxa"/>
          <w:right w:w="0" w:type="dxa"/>
        </w:tblCellMar>
      </w:tblPr>
      <w:tblGrid>
        <w:gridCol w:w="4670"/>
        <w:gridCol w:w="60"/>
        <w:gridCol w:w="140"/>
        <w:gridCol w:w="1295"/>
        <w:gridCol w:w="110"/>
      </w:tblGrid>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as of June 17, 2025 (inception)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983,296,700</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(462,036,316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realized loss on sale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unrealized loss on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fair value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Prepaid Expenses and Other Current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w:t>
      </w:r>
    </w:p>
    <w:tbl>
      <w:tblPr>
        <w:tblW w:w="5154" w:type="dxa"/>
        <w:jc w:val="left"/>
        <w:tblInd w:w="0" w:type="dxa"/>
        <w:tblLayout w:type="fixed"/>
        <w:tblCellMar>
          <w:top w:w="0" w:type="dxa"/>
          <w:left w:w="0" w:type="dxa"/>
          <w:bottom w:w="0" w:type="dxa"/>
          <w:right w:w="0" w:type="dxa"/>
        </w:tblCellMar>
      </w:tblPr>
      <w:tblGrid>
        <w:gridCol w:w="3065"/>
        <w:gridCol w:w="60"/>
        <w:gridCol w:w="244"/>
        <w:gridCol w:w="1710"/>
        <w:gridCol w:w="75"/>
      </w:tblGrid>
      <w:tr>
        <w:trPr/>
        <w:tc>
          <w:tcPr>
            <w:tcW w:w="30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Prepaid expenses:</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1,812,891</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current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50,325</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 current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1,863,216</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non-current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current assets: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receivable</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Fixed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consist of the following:</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Fixed Assets</w:t>
      </w:r>
    </w:p>
    <w:tbl>
      <w:tblPr>
        <w:tblW w:w="5114" w:type="dxa"/>
        <w:jc w:val="left"/>
        <w:tblInd w:w="0" w:type="dxa"/>
        <w:tblLayout w:type="fixed"/>
        <w:tblCellMar>
          <w:top w:w="0" w:type="dxa"/>
          <w:left w:w="0" w:type="dxa"/>
          <w:bottom w:w="0" w:type="dxa"/>
          <w:right w:w="0" w:type="dxa"/>
        </w:tblCellMar>
      </w:tblPr>
      <w:tblGrid>
        <w:gridCol w:w="2990"/>
        <w:gridCol w:w="60"/>
        <w:gridCol w:w="305"/>
        <w:gridCol w:w="1649"/>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75,049</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the Company’s fixed assets was $32,469 for the period from June 17, 2025 (inception) through December 31, 2025.</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Debt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on June 23, 2025, certain qualified investors (the “Convertible Note Investors”) each entered into a subscription agreement (collectively, the “Convertible Note Subscription Agreements”), with ProCap and CCCM. On December 5, 2025, upon the Closing of the Business Combination, the Convertible Note Investors purchased convertible notes issued by the Company (“Convertible Notes”) in an aggregate principal amount of $235,000,000, for an aggregate purchase price equal to 97% of the aggregate principal amount of the Convertible Notes. The Convertible Notes have a conversion rate of 76.9 shares per $1,000 equal to an approximately $13.00 conversion price, zero interest rate, maturity of up to 36 months, and are collateralized by cash, cash equivalents and certain Bitcoin assets. Under the indenture associated with the Convertible Notes, the Company has up to 30 days from the closing of the Business Combination to 1.0:1.0 times collateralize the Convertible Notes using a mix of Bitcoin (with Bitcoin being valued at 50% for collateral calculation purposes), cash and cash equivalents (with cash and cash equivalents being valued at 100% for collateral calculation purposes). This note has an effective interest rate of 9.09%. U.S. Bank National Trust, N.A. (“US Bank”) serves as collateral agent and trustee with regard to the Convertible Notes and associated indenture and security arrangements. As of December 31, 2025, the Company had $145,239,552 on deposit at US Bank.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Note Investor may, at its option, convert each $1,000 principal amount of their Convertible Note into a number of shares of common stock equal to the conversion rate in effect on the conversion date, cash, or a combination of common stock and cash at any time from the issue date until the close of business on the second scheduled trading date immediately before the maturity date. The embedded conversion of the Convertible Notes meets the criteria for bifurcation and is recognized as a separate derivative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then the principal amounts on all the Convertible Notes then outstanding will immediately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outstanding Convertible Notes as of December 31, 2025, including the effects of discounts and debt issuance costs:</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Convertible Note</w:t>
      </w:r>
    </w:p>
    <w:tbl>
      <w:tblPr>
        <w:tblW w:w="4829" w:type="dxa"/>
        <w:jc w:val="left"/>
        <w:tblInd w:w="0" w:type="dxa"/>
        <w:tblLayout w:type="fixed"/>
        <w:tblCellMar>
          <w:top w:w="0" w:type="dxa"/>
          <w:left w:w="0" w:type="dxa"/>
          <w:bottom w:w="0" w:type="dxa"/>
          <w:right w:w="0" w:type="dxa"/>
        </w:tblCellMar>
      </w:tblPr>
      <w:tblGrid>
        <w:gridCol w:w="2705"/>
        <w:gridCol w:w="60"/>
        <w:gridCol w:w="201"/>
        <w:gridCol w:w="1753"/>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net (1)</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(11,387,249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issuance costs, net (2)</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(9,440,843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214,171,908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 as of December 31, 2025 consisted of $7,050,000 of original issue discount and $4,629,230 for the fair value of the embedded derivative less accumulated amortization of $291,981.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23"/>
        <w:gridCol w:w="9929"/>
      </w:tblGrid>
      <w:tr>
        <w:trPr/>
        <w:tc>
          <w:tcPr>
            <w:tcW w:w="25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issuance costs as of December 31, 2025 consisted of $9,682,916 in debt issuance costs less accumulated amortization of $242,073.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principal amount of loan maturities due over the next five years as of December 31, 2025:</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Loan Maturities</w:t>
      </w:r>
    </w:p>
    <w:tbl>
      <w:tblPr>
        <w:tblW w:w="7755" w:type="dxa"/>
        <w:jc w:val="left"/>
        <w:tblInd w:w="0" w:type="dxa"/>
        <w:tblLayout w:type="fixed"/>
        <w:tblCellMar>
          <w:top w:w="0" w:type="dxa"/>
          <w:left w:w="0" w:type="dxa"/>
          <w:bottom w:w="0" w:type="dxa"/>
          <w:right w:w="0" w:type="dxa"/>
        </w:tblCellMar>
      </w:tblPr>
      <w:tblGrid>
        <w:gridCol w:w="2300"/>
        <w:gridCol w:w="60"/>
        <w:gridCol w:w="297"/>
        <w:gridCol w:w="203"/>
        <w:gridCol w:w="60"/>
        <w:gridCol w:w="60"/>
        <w:gridCol w:w="297"/>
        <w:gridCol w:w="203"/>
        <w:gridCol w:w="60"/>
        <w:gridCol w:w="60"/>
        <w:gridCol w:w="140"/>
        <w:gridCol w:w="1220"/>
        <w:gridCol w:w="60"/>
        <w:gridCol w:w="60"/>
        <w:gridCol w:w="297"/>
        <w:gridCol w:w="203"/>
        <w:gridCol w:w="60"/>
        <w:gridCol w:w="60"/>
        <w:gridCol w:w="297"/>
        <w:gridCol w:w="203"/>
        <w:gridCol w:w="60"/>
        <w:gridCol w:w="60"/>
        <w:gridCol w:w="140"/>
        <w:gridCol w:w="122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2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5-Year Loan Maturities Fiscal Year</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 Convertible Notes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disaggregation of interest expense for the period from June 17, 2025 (inception) through December 31, 2025:</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Disaggregation of Interest Expense</w:t>
      </w:r>
    </w:p>
    <w:tbl>
      <w:tblPr>
        <w:tblW w:w="5199" w:type="dxa"/>
        <w:jc w:val="left"/>
        <w:tblInd w:w="0" w:type="dxa"/>
        <w:tblLayout w:type="fixed"/>
        <w:tblCellMar>
          <w:top w:w="0" w:type="dxa"/>
          <w:left w:w="0" w:type="dxa"/>
          <w:bottom w:w="0" w:type="dxa"/>
          <w:right w:w="0" w:type="dxa"/>
        </w:tblCellMar>
      </w:tblPr>
      <w:tblGrid>
        <w:gridCol w:w="3020"/>
        <w:gridCol w:w="60"/>
        <w:gridCol w:w="303"/>
        <w:gridCol w:w="1741"/>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For the period from</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291,981</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242,073</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a consolidated federal income tax return and various state income tax returns. The amount of income taxes the Company records requires the interpretation of complex rules and regulations of federal and state taxing jurisdictions.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U.S. federal statutory rate to the Company’s effect income tax rate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Effective Income Tax Rate Reconciliation</w:t>
      </w:r>
    </w:p>
    <w:tbl>
      <w:tblPr>
        <w:tblW w:w="6329" w:type="dxa"/>
        <w:jc w:val="left"/>
        <w:tblInd w:w="0" w:type="dxa"/>
        <w:tblLayout w:type="fixed"/>
        <w:tblCellMar>
          <w:top w:w="0" w:type="dxa"/>
          <w:left w:w="0" w:type="dxa"/>
          <w:bottom w:w="0" w:type="dxa"/>
          <w:right w:w="0" w:type="dxa"/>
        </w:tblCellMar>
      </w:tblPr>
      <w:tblGrid>
        <w:gridCol w:w="4010"/>
        <w:gridCol w:w="60"/>
        <w:gridCol w:w="203"/>
        <w:gridCol w:w="1751"/>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30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rate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conversion feature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requires deferred income tax assets and liabilities to be measured at the enacted tax rate expected to apply when temporary differences are to be realized or settled. Significant components of net deferred tax assets (liabilities) at December 31, 2025 are as follows:</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Deferred Income Tax Assets and Liabilities</w:t>
      </w:r>
    </w:p>
    <w:tbl>
      <w:tblPr>
        <w:tblW w:w="8069" w:type="dxa"/>
        <w:jc w:val="left"/>
        <w:tblInd w:w="0" w:type="dxa"/>
        <w:tblLayout w:type="fixed"/>
        <w:tblCellMar>
          <w:top w:w="0" w:type="dxa"/>
          <w:left w:w="0" w:type="dxa"/>
          <w:bottom w:w="0" w:type="dxa"/>
          <w:right w:w="0" w:type="dxa"/>
        </w:tblCellMar>
      </w:tblPr>
      <w:tblGrid>
        <w:gridCol w:w="5945"/>
        <w:gridCol w:w="60"/>
        <w:gridCol w:w="208"/>
        <w:gridCol w:w="1746"/>
        <w:gridCol w:w="110"/>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92,829</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5,251,131</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57,564</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NOL - Federal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13,021,839</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(493,561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Net operating losses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17,907,487</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(17,907,487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Allowance Roll Forward</w:t>
      </w:r>
    </w:p>
    <w:p>
      <w:pPr>
        <w:pStyle w:val="TextBody"/>
        <w:bidi w:val="0"/>
        <w:spacing w:before="0" w:after="0"/>
        <w:jc w:val="both"/>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095"/>
        <w:gridCol w:w="60"/>
        <w:gridCol w:w="208"/>
        <w:gridCol w:w="1746"/>
        <w:gridCol w:w="110"/>
      </w:tblGrid>
      <w:tr>
        <w:trPr/>
        <w:tc>
          <w:tcPr>
            <w:tcW w:w="3095" w:type="dxa"/>
            <w:tcBorders/>
            <w:vAlign w:val="center"/>
          </w:tcPr>
          <w:p>
            <w:pPr>
              <w:pStyle w:val="TableContents"/>
              <w:bidi w:val="0"/>
              <w:spacing w:before="0" w:after="283"/>
              <w:jc w:val="left"/>
              <w:rPr>
                <w:b/>
              </w:rPr>
            </w:pPr>
            <w:r>
              <w:rPr>
                <w:b/>
              </w:rPr>
              <w:t>Deferred:</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 2025</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US Federal expense (benefit)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746" w:type="dxa"/>
            <w:tcBorders/>
            <w:shd w:fill="CCEEFF" w:val="clear"/>
            <w:vAlign w:val="center"/>
          </w:tcPr>
          <w:p>
            <w:pPr>
              <w:pStyle w:val="TableContents"/>
              <w:bidi w:val="0"/>
              <w:spacing w:before="0" w:after="283"/>
              <w:jc w:val="right"/>
              <w:rPr/>
            </w:pPr>
            <w:r>
              <w:rPr/>
              <w:t>(17,907,487</w:t>
            </w:r>
          </w:p>
        </w:tc>
        <w:tc>
          <w:tcPr>
            <w:tcW w:w="110" w:type="dxa"/>
            <w:tcBorders/>
            <w:shd w:fill="CCEEFF" w:val="clear"/>
            <w:vAlign w:val="center"/>
          </w:tcPr>
          <w:p>
            <w:pPr>
              <w:pStyle w:val="TableContents"/>
              <w:bidi w:val="0"/>
              <w:spacing w:before="0" w:after="283"/>
              <w:jc w:val="left"/>
              <w:rPr/>
            </w:pPr>
            <w:r>
              <w:rPr/>
              <w:t>)</w:t>
            </w:r>
          </w:p>
        </w:tc>
      </w:tr>
      <w:tr>
        <w:trPr/>
        <w:tc>
          <w:tcPr>
            <w:tcW w:w="3095" w:type="dxa"/>
            <w:tcBorders/>
            <w:shd w:fill="FFFFFF" w:val="clear"/>
            <w:vAlign w:val="center"/>
          </w:tcPr>
          <w:p>
            <w:pPr>
              <w:pStyle w:val="TableContents"/>
              <w:bidi w:val="0"/>
              <w:spacing w:before="0" w:after="283"/>
              <w:jc w:val="left"/>
              <w:rPr/>
            </w:pPr>
            <w:r>
              <w:rPr/>
              <w:t>State and local expense (benefit)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17,907,487</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for deferred tax assets, including net operating losses, is recognized when it is more likely than not that some or all of the benefit from the deferred tax asset will not be realized. To assess that likelihood, we use estimates and judgment regarding our future taxable income, and we consider the tax consequences in the jurisdiction where such taxable income is generated, to determine whether a valuation allowance is required. Such evidence can include our current financial position, our results of operations, both actual and forecasted, the reversal of deferred tax liabilities, and tax planning strategies as well as the current and forecasted business economics of our industry. As of December 31, 2025, the Company’s deferred tax assets consisted primarily of $13.0 million related to federal net operating loss carry forwards, $5.3 million related to changes in the fair value of digital assets, and $0.2 million related to stock-based compensation and interest expense, partially offset by deferred tax liabilities related to changes in the fair value of convertible note conversion features and derivative securities. The resulting gross deferred tax assets were fully offset by a valuation allowance, resulting in no net deferred tax asset or liability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more than a 50% change in ownership occurs, over a three-year period, as defined, the Tax Reform Act of 1986 limits the utilization of net operating loss carry forwards in the years following the change in ownership. In December 2025, the Company issued common stock to various parties in connection with the business combination. A Section 382 ownership study has not been completed yet. The management will continue to evaluate the occurrence of ownership change and the impact on utilization of prior year NOL, which otherwise can be carried forward indefinitely.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whether there were material uncertain tax positions requiring recognition in our financial statements. As of December 31, 2025, the Company has not identified unrecognized tax benefits that would favorably affect the effective tax rate if resolved in the Company’s favor and the Company recognized $0 uncertain tax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Revenue from Contracts with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Revenue is recognized when control of promised services is transferred to customers in an amount that reflects the consideration the Company expects to receive in exchange for those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digital advertising and marketing services, including weekly audio, video, and social media placements. These services represent a single performance obligation satisfied over time, as customers simultaneously receive and consume the benefits of the services as they are delivered. The Company uses a time-elapsed (straight-line) measure of progress for arrangements in which services are provided evenly throughout the contract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Consideration is generally fixed, and the Company does not have material variable consideration, noncash consideration, or significant financing components.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Judgments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judgments affecting the amount and timing of revenue recognition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performance obligations: Digital advertising services are determined to be a single performance obligation under the series guidance in ASC 606-10-25-14(b).</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 of progress: Straight-line recognition is applied because services are delivered evenly over the contract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collectability: The Company evaluates customer creditworthiness at contract inception and throughout the arrangement.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or Fulfill a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incur incremental costs to obtain contracts (such as sales commissions). Costs to fulfill a contract are not capitalized because such costs are either immaterial or do not meet the criteria under ASC 340-40.</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 the Company’s remaining performance obligations under non-cancelable contracts were $1,000, all of which are expected to be recognized as revenue within the next 6 months. The Company applies the practical expedient in ASC 606-10-50-14(a) for contracts with an original duration of one year or less.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Assets and Liabilities Measured at Fair Value</w:t>
      </w:r>
    </w:p>
    <w:tbl>
      <w:tblPr>
        <w:tblW w:w="10205" w:type="dxa"/>
        <w:jc w:val="left"/>
        <w:tblInd w:w="0" w:type="dxa"/>
        <w:tblLayout w:type="fixed"/>
        <w:tblCellMar>
          <w:top w:w="0" w:type="dxa"/>
          <w:left w:w="0" w:type="dxa"/>
          <w:bottom w:w="0" w:type="dxa"/>
          <w:right w:w="0" w:type="dxa"/>
        </w:tblCellMar>
      </w:tblPr>
      <w:tblGrid>
        <w:gridCol w:w="2271"/>
        <w:gridCol w:w="60"/>
        <w:gridCol w:w="160"/>
        <w:gridCol w:w="1396"/>
        <w:gridCol w:w="60"/>
        <w:gridCol w:w="60"/>
        <w:gridCol w:w="202"/>
        <w:gridCol w:w="1770"/>
        <w:gridCol w:w="60"/>
        <w:gridCol w:w="60"/>
        <w:gridCol w:w="1142"/>
        <w:gridCol w:w="775"/>
        <w:gridCol w:w="60"/>
        <w:gridCol w:w="60"/>
        <w:gridCol w:w="248"/>
        <w:gridCol w:w="1741"/>
        <w:gridCol w:w="80"/>
      </w:tblGrid>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0"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Total fair value at</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Quoted prices in active markets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Significant other observable inputs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Significant unobservable inputs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3)</w:t>
            </w:r>
          </w:p>
        </w:tc>
        <w:tc>
          <w:tcPr>
            <w:tcW w:w="80"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80" w:type="dxa"/>
            <w:tcBorders/>
            <w:shd w:fill="FFFFFF" w:val="clear"/>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its Bitcoin investments, the Company uses quoted prices as determined by utilizing Coinbase closing prices at midnight UTC. As such, the Company’s digital assets were determined to be Level 1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Conversion Feature Liability, the Company utilized the Black-Scholes pricing model which is considered to be Level 3 liability. The key inputs are presented in the table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Key Input Measurement For Fair Value</w:t>
      </w:r>
    </w:p>
    <w:tbl>
      <w:tblPr>
        <w:tblW w:w="6850" w:type="dxa"/>
        <w:jc w:val="left"/>
        <w:tblInd w:w="0" w:type="dxa"/>
        <w:tblLayout w:type="fixed"/>
        <w:tblCellMar>
          <w:top w:w="0" w:type="dxa"/>
          <w:left w:w="0" w:type="dxa"/>
          <w:bottom w:w="0" w:type="dxa"/>
          <w:right w:w="0" w:type="dxa"/>
        </w:tblCellMar>
      </w:tblPr>
      <w:tblGrid>
        <w:gridCol w:w="2495"/>
        <w:gridCol w:w="60"/>
        <w:gridCol w:w="367"/>
        <w:gridCol w:w="1468"/>
        <w:gridCol w:w="215"/>
        <w:gridCol w:w="60"/>
        <w:gridCol w:w="391"/>
        <w:gridCol w:w="1564"/>
        <w:gridCol w:w="23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5,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(Initial)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23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23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3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23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Convertible Note Conversion Feature Liability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Roll Forward Convertible Notes</w:t>
      </w:r>
    </w:p>
    <w:tbl>
      <w:tblPr>
        <w:tblW w:w="6029" w:type="dxa"/>
        <w:jc w:val="left"/>
        <w:tblInd w:w="0" w:type="dxa"/>
        <w:tblLayout w:type="fixed"/>
        <w:tblCellMar>
          <w:top w:w="0" w:type="dxa"/>
          <w:left w:w="0" w:type="dxa"/>
          <w:bottom w:w="0" w:type="dxa"/>
          <w:right w:w="0" w:type="dxa"/>
        </w:tblCellMar>
      </w:tblPr>
      <w:tblGrid>
        <w:gridCol w:w="3185"/>
        <w:gridCol w:w="60"/>
        <w:gridCol w:w="312"/>
        <w:gridCol w:w="2362"/>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Conversion feature</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liability - convertible notes</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value at December 5, 2025</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23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4,629,230</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Liability - Preferred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Derivative Liability - Preferred Units, the Company utilized the Black-Scholes pricing model which is considered to be a Level 3 liability. The key inputs are presented in the table below:</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Key Input Measurement For Fair Value</w:t>
      </w:r>
    </w:p>
    <w:tbl>
      <w:tblPr>
        <w:tblW w:w="4305" w:type="dxa"/>
        <w:jc w:val="left"/>
        <w:tblInd w:w="0" w:type="dxa"/>
        <w:tblLayout w:type="fixed"/>
        <w:tblCellMar>
          <w:top w:w="0" w:type="dxa"/>
          <w:left w:w="0" w:type="dxa"/>
          <w:bottom w:w="0" w:type="dxa"/>
          <w:right w:w="0" w:type="dxa"/>
        </w:tblCellMar>
      </w:tblPr>
      <w:tblGrid>
        <w:gridCol w:w="2600"/>
        <w:gridCol w:w="60"/>
        <w:gridCol w:w="283"/>
        <w:gridCol w:w="1132"/>
        <w:gridCol w:w="23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23,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(Initial)</w:t>
            </w:r>
          </w:p>
        </w:tc>
        <w:tc>
          <w:tcPr>
            <w:tcW w:w="23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 - Preferred unit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w:t>
            </w:r>
          </w:p>
        </w:tc>
        <w:tc>
          <w:tcPr>
            <w:tcW w:w="23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23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Derivative Liability – Preferred Units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Roll Forward Derivatve Liability</w:t>
      </w:r>
    </w:p>
    <w:tbl>
      <w:tblPr>
        <w:tblW w:w="5249" w:type="dxa"/>
        <w:jc w:val="left"/>
        <w:tblInd w:w="0" w:type="dxa"/>
        <w:tblLayout w:type="fixed"/>
        <w:tblCellMar>
          <w:top w:w="0" w:type="dxa"/>
          <w:left w:w="0" w:type="dxa"/>
          <w:bottom w:w="0" w:type="dxa"/>
          <w:right w:w="0" w:type="dxa"/>
        </w:tblCellMar>
      </w:tblPr>
      <w:tblGrid>
        <w:gridCol w:w="3095"/>
        <w:gridCol w:w="60"/>
        <w:gridCol w:w="210"/>
        <w:gridCol w:w="1774"/>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Units</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value as of June 23, 2025</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Securities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quoted market prices are not available, fair value is determined using a market-participant-based option pricing model. The Company utilizes a Black-76 valuation model to determine the fair value of BTC put options leveraging calibrated Bitcoin forward curves and volatility surfaces daily at 4:00 PM ET using executable bid-offer prices and futures data sourced from Deribit. These calibrated inputs are applied across option strikes and maturities to derive fair-market pricing.</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derivative securities liability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Derivative Liability, Put Option</w:t>
      </w:r>
    </w:p>
    <w:tbl>
      <w:tblPr>
        <w:tblW w:w="5714" w:type="dxa"/>
        <w:jc w:val="left"/>
        <w:tblInd w:w="0" w:type="dxa"/>
        <w:tblLayout w:type="fixed"/>
        <w:tblCellMar>
          <w:top w:w="0" w:type="dxa"/>
          <w:left w:w="0" w:type="dxa"/>
          <w:bottom w:w="0" w:type="dxa"/>
          <w:right w:w="0" w:type="dxa"/>
        </w:tblCellMar>
      </w:tblPr>
      <w:tblGrid>
        <w:gridCol w:w="4490"/>
        <w:gridCol w:w="60"/>
        <w:gridCol w:w="145"/>
        <w:gridCol w:w="909"/>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Premiums received on sold BTC put options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534,500</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fair value recognized in earnings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Settlements / expirations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3</w:t>
      </w:r>
      <w:r>
        <w:rPr>
          <w:rFonts w:ascii="Times New Roman;Times;Serif" w:hAnsi="Times New Roman;Times;Serif"/>
          <w:b w:val="false"/>
          <w:i w:val="false"/>
          <w:caps w:val="false"/>
          <w:smallCaps w:val="false"/>
          <w:sz w:val="20"/>
        </w:rPr>
        <w:t xml:space="preserve"> above for a description of the Company’s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 The Company is authorized to issue 50,000,000 shares of preferred stock with a par value of $0.001 per share. As of December 31, 2025, there were no shares of preferred stock issued and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 The Company is authorized to issue 550,000,000 shares of common stock with a par value of $0.001 per share. As of December 31, 2025, there were 85,166,604 shares of common stock issued and 84,327,208 shares of common stock outstanding (see Note 4). Each share of common stock entitles the holder to one vote.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Treasury stock</w:t>
      </w:r>
      <w:r>
        <w:rPr>
          <w:rFonts w:ascii="Times New Roman;Times;Serif" w:hAnsi="Times New Roman;Times;Serif"/>
          <w:b w:val="false"/>
          <w:i w:val="false"/>
          <w:caps w:val="false"/>
          <w:smallCaps w:val="false"/>
          <w:sz w:val="20"/>
        </w:rPr>
        <w:t xml:space="preserve"> — On December 11, 2025, the Board of Directors of ProCap Financial, Inc. (the “Company”) approved a share repurchase program (the “2025 Repurchase Program”) providing for the repurchase of up to $100 million of the Company’s outstanding shares of common stock, par value $0.001 per share (the “Common Stock”). Under the 2025 Repurchase Program, the Company is authorized to repurchase shares of Common Stock through open market purchases, privately-negotiated transactions, accelerated share repurchases, or otherwise in accordance with applicable federal securities laws, including through Rule 10b5-1 trading plans and under Rule 10b-18 of the Securities Exchange Act of 1934, as amended (the “Exchange Act”). The 2025 Repurchase Program does not obligate the Company to repurchase shares of Common Stock and the specific timing and amount of repurchases will vary based on available capital resources and other financial and operational performance metrics, market conditions, securities law limitations and other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Repurchase Program, on December 12, 2025, the Company entered into an Open Market Share Repurchase Agreement (the “Repurchase Agreement”) with TD Securities Inc. (the “Broker”) whereby the Broker has agreed to act as a non-exclusive agent on behalf of the Company to repurchase shares of Common Stock in the open market pursuant to Rule 10b5-1 and Rule 10b-18 of the Exchange Act. The Repurchase Agreement will continue in effect until terminated by either the Company or the Broker, with or without cause, upon written notice to the other party. The Company will pay the Broker a commission at a rate of $0.02 for each share of Common Stock repurchased pursuant to the Repurchase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839,396 shares of treasury stock, which were acquired for an aggregate purchase price of $2,846,627, as reflected in the accompanying consolidated statements of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Warrants </w:t>
      </w:r>
      <w:r>
        <w:rPr>
          <w:rFonts w:ascii="Times New Roman;Times;Serif" w:hAnsi="Times New Roman;Times;Serif"/>
          <w:b w:val="false"/>
          <w:i w:val="false"/>
          <w:caps w:val="false"/>
          <w:smallCaps w:val="false"/>
          <w:sz w:val="20"/>
        </w:rPr>
        <w:t>— As part of CCCM’s initial public offering, CCCM issued warrants to third party investors where each whole warrant entitles the holder to purchase one share of the Company’s common stock at an exercise price of $11.50 per share (the “Public Warrants”). Simultaneously with the closing of the initial public offering CCCM completed the private sale of warrants where each warrant allows the holder to purchase one share of the Company’s common stock at $11.50 per share (the “Private Placement Warrants”). The warrants cannot be exercised until 30 days after the completion of the business combination, and will expire at 5:00pm, New York City time, December 5, 2030. As of December 31. 2025, there were 12,500,000 Public Warrants and 352,500 Private Placement Warrants.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Warrants When the Price per Share Equals or Exceeds $18.00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whole and not in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at a price of $0.01 per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upon a minimum of 30 days’ prior written notice of redemption (the “30-day redemption period”);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and only if, the last reported sale price (the “closing price”) of the common stock equals or exceeds $18.00 per share (as adjusted for adjustments to the number of shares issuable upon exercise or the exercise price of a warrant) for any 20 trading days within a 30-trading day period commencing at least 30 days after completion of the business combination and ending on the third trading day prior to the date on which the Company sends the notice of redemption to the warrant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Company’s Board of Directors adopted, and the Company’s stockholders approved the ProCap Financial, Inc. 2025 Equity Incentive Plan whereby it may grant to employees, consultants or non-employee directors an award, such as (1) options and stock appreciation rights, (2) performance stock, (3) performance stock units, (4) restricted stock, and (5) restricted stock units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which may be issued or transferred under the plan is equal to the sum of (i) 10% of the shares outstanding post-closing of the Business Combination and (ii) an annual increase on the first day of each year beginning in 2026 and ending in (and including) 2035 equal to the lesser of (A) 5% of the shares outstanding on the last day of the immediately preceding fiscal year and (B) such smaller number of shares as determined by the Board or the compensation committee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the Company issued restricted stock units (“RSU’S) under the 2025 Equity Plan. Each RSU entitles the recipient to one share of the Company’s common stock upon vesting. The Company measures the grant date fair value of RSU’s based on the nature of the vesting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only to service-based vesting conditions, fair value is measured using the stock price on the grant date. For RSU’s subject to performance-based vesting conditions, including market-based share price targets, grant date fair value is determined using a Monte Carlo valuation model which incorporates assumptions regarding volatility of 60%, risk-free interest rate of 3.9%, expected term of 7 years, and stock price of $4.36 to calculate the probability of achieving the specified performance conditions, consistent with ASC 718. Performance-based RSU’s will be forfeited to the extent any outstanding portion of the award remains unvested as of the seventh anniversary of the date of the grant of the award or upon the employee’s termination of employment for any such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subject to market-based share price targets will be eligible to vest upon the achievement of the following share price vesting conditions as long as the employee remains employed by the Company through the date in which the share price vesting condition is satisfied for any five continuous business days where a share of common stock of the Company closes at or above the applicable share prices below:</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Restricted Stock Unit</w:t>
      </w:r>
    </w:p>
    <w:tbl>
      <w:tblPr>
        <w:tblW w:w="4660" w:type="dxa"/>
        <w:jc w:val="left"/>
        <w:tblInd w:w="0" w:type="dxa"/>
        <w:tblLayout w:type="fixed"/>
        <w:tblCellMar>
          <w:top w:w="0" w:type="dxa"/>
          <w:left w:w="0" w:type="dxa"/>
          <w:bottom w:w="28" w:type="dxa"/>
          <w:right w:w="0" w:type="dxa"/>
        </w:tblCellMar>
      </w:tblPr>
      <w:tblGrid>
        <w:gridCol w:w="3335"/>
        <w:gridCol w:w="60"/>
        <w:gridCol w:w="238"/>
        <w:gridCol w:w="952"/>
        <w:gridCol w:w="75"/>
      </w:tblGrid>
      <w:tr>
        <w:trPr/>
        <w:tc>
          <w:tcPr>
            <w:tcW w:w="3335" w:type="dxa"/>
            <w:tcBorders>
              <w:bottom w:val="single" w:sz="8" w:space="0" w:color="000000"/>
            </w:tcBorders>
            <w:vAlign w:val="center"/>
          </w:tcPr>
          <w:p>
            <w:pPr>
              <w:pStyle w:val="TableContents"/>
              <w:bidi w:val="0"/>
              <w:spacing w:before="0" w:after="283"/>
              <w:jc w:val="left"/>
              <w:rPr>
                <w:b/>
              </w:rPr>
            </w:pPr>
            <w:r>
              <w:rPr>
                <w:b/>
              </w:rPr>
              <w:t>Number of RSU’s eligible to vest</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283"/>
              <w:jc w:val="center"/>
              <w:rPr>
                <w:b/>
              </w:rPr>
            </w:pPr>
            <w:r>
              <w:rPr>
                <w:b/>
              </w:rPr>
              <w:t>Share price</w:t>
            </w:r>
          </w:p>
        </w:tc>
        <w:tc>
          <w:tcPr>
            <w:tcW w:w="7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15.00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17.50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22.50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27.50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32.50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37.50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40.00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42.50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45.00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47.50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summary of activity with respect to, and status of restricted stock units for the period from June 17, 2025 (inception) through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Restricted Stock Units </w:t>
      </w:r>
    </w:p>
    <w:tbl>
      <w:tblPr>
        <w:tblW w:w="7563" w:type="dxa"/>
        <w:jc w:val="left"/>
        <w:tblInd w:w="0" w:type="dxa"/>
        <w:tblLayout w:type="fixed"/>
        <w:tblCellMar>
          <w:top w:w="0" w:type="dxa"/>
          <w:left w:w="0" w:type="dxa"/>
          <w:bottom w:w="0" w:type="dxa"/>
          <w:right w:w="0" w:type="dxa"/>
        </w:tblCellMar>
      </w:tblPr>
      <w:tblGrid>
        <w:gridCol w:w="3500"/>
        <w:gridCol w:w="60"/>
        <w:gridCol w:w="126"/>
        <w:gridCol w:w="2098"/>
        <w:gridCol w:w="95"/>
        <w:gridCol w:w="60"/>
        <w:gridCol w:w="373"/>
        <w:gridCol w:w="1176"/>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Number of Restricted</w:t>
            </w:r>
          </w:p>
          <w:p>
            <w:pPr>
              <w:pStyle w:val="TableContents"/>
              <w:bidi w:val="0"/>
              <w:spacing w:before="0" w:after="0"/>
              <w:jc w:val="center"/>
              <w:rPr>
                <w:rFonts w:ascii="Times New Roman;Times;Serif" w:hAnsi="Times New Roman;Times;Serif"/>
                <w:b/>
              </w:rPr>
            </w:pPr>
            <w:r>
              <w:rPr>
                <w:rFonts w:ascii="Times New Roman;Times;Serif" w:hAnsi="Times New Roman;Times;Serif"/>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Weighted</w:t>
            </w:r>
          </w:p>
          <w:p>
            <w:pPr>
              <w:pStyle w:val="TableContents"/>
              <w:bidi w:val="0"/>
              <w:spacing w:before="0" w:after="0"/>
              <w:jc w:val="center"/>
              <w:rPr>
                <w:rFonts w:ascii="Times New Roman;Times;Serif" w:hAnsi="Times New Roman;Times;Serif"/>
                <w:b/>
              </w:rPr>
            </w:pPr>
            <w:r>
              <w:rPr>
                <w:rFonts w:ascii="Times New Roman;Times;Serif" w:hAnsi="Times New Roman;Times;Serif"/>
                <w:b/>
              </w:rPr>
              <w:t>Average Grant</w:t>
            </w:r>
          </w:p>
          <w:p>
            <w:pPr>
              <w:pStyle w:val="TableContents"/>
              <w:bidi w:val="0"/>
              <w:spacing w:before="0" w:after="0"/>
              <w:jc w:val="center"/>
              <w:rPr>
                <w:rFonts w:ascii="Times New Roman;Times;Serif" w:hAnsi="Times New Roman;Times;Serif"/>
                <w:b/>
              </w:rPr>
            </w:pPr>
            <w:r>
              <w:rPr>
                <w:rFonts w:ascii="Times New Roman;Times;Serif" w:hAnsi="Times New Roman;Times;Serif"/>
                <w:b/>
              </w:rPr>
              <w:t>Date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as of June 17, 2025</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(201,586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8,220,000 restricted stock units outstanding. As of December 31, 2005, unrecognized compensation cost related to the grant of restricted stock units was $17,058,191 and had a remaining vesting period of approximately 2.1 years to 3.93 years. Stock-based compensation expense related to RSUs recognized during the period from June 17, 2025 (inception) through December 31, 2025 was $442,043, and is included in the accompanying consolidated statements of operations.</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Time Based RSU</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Key Assumptions Used in the Valuation of Such Awards Granted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Market-based RSU</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did not have any material commitments except as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Non-Competition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the execution and delivery of the Business Combination Agreement, ProCap BTC, CCCM, the Company and Mr. Anthony Pompliano entered into a Non-Competition and Non-Solicitation Agreement, pursuant to which, until the earlier of (i) the date that is eighteen (18) months following the Closing Date June 23, 2025 and (ii) the date that is six (6) months after such date as Mr. Pompliano ceases to be a Control Person of the Company or ProCap BTC, Mr. Pompliano will not, directly or indirectly, become a Control Person of a public company with a primary portion of its business comprised of pursuing a Bitcoin treasury strategy program. For purposes of the Non-Competition Agreement, “Control Person” shall mean (x) the chairman of a board of directors, chief executive officer or president, or (y) the owner of such equity interests or right to acquire equity interests of a Person which entitles the holder thereof to the ability to manage or control such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and delivery of the Business Combination Agreement, Inflection Points, an entity under common control, and the Company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(4) years following the Effective Date and will automatically renew for a subsequent one (1) year term, unless either party gives the other party at least sixty (60) days’ prior written notice of non-renewal or otherwise terminates the Services Agreement or any statement of work as set forth therein. In consideration of the Work performed, upon execution of this Agreement, Service Provider shall receive an aggregate of 10,000,000 Common Units of ProCap BTC, which were exchanged for 10,000,000 shares of the Company’s stock at the closing of the Business Combination (See Note 4). Payment for all or part of the Work shall not constitute acceptance. As of December 31, 2025, these shares have been issued and are outstanding (see Note 12). These shares were recorded at fair value at date of issuance, which was reported at $10,000 on the statement of changes in stockholders’ equity.</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Equity Subscription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certain “qualified investors” (defined to include “qualified institutional buyers” (“QIBS”), as defined in Rule 144A of the Securities Act, and institutional “accredited investors,” as defined in Rule 501 of Regulation D) (the “Preferred Equity Investors”) each entered into a Preferred Equity Subscription Agreement (collectively, the “Preferred Equity Subscription Agreements”) with CCCM, ProCap BTC and the Company, pursuant to which the Preferred Equity Investors subscribed to purchase an aggregate of 51,650,000 non-voting preferred units of ProCap BTC (“Preferred Units”), at a purchase price of $10.00 per unit in a private placement, for an aggregate amount of $516.5 million of such Preferred Units (the “Preferred Equity Investment,”), which were converted and exchanged for 64,562,500 shares of common stock of the Company at the Closing of the Business Combination (See Note 4). Additionally, each Preferred Equity Subscriber executed a joinder agreement to that certain Limited Liability Company Operating Agreement of the Company, dated as of June 22, 2025, by and among the Company and the members identified therein (the “LLC Agreement”), pursuant to which each Preferred Equity Subscriber accepted the rights, duties and obligations set forth in the LLC Agreement and became a preferred member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all of the proceeds from the Preferred Equity Investment were used by the Company to the purchase Bitcoin, which Bitcoin was held in a custodial account until the Closing, upon which it was contributed to ProCap Financial.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Earnout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and Sponsor entered into an agreement (the “</w:t>
      </w:r>
      <w:r>
        <w:rPr>
          <w:rFonts w:ascii="Times New Roman;Times;Serif" w:hAnsi="Times New Roman;Times;Serif"/>
          <w:b w:val="false"/>
          <w:i w:val="false"/>
          <w:caps w:val="false"/>
          <w:smallCaps w:val="false"/>
          <w:sz w:val="20"/>
          <w:u w:val="single"/>
        </w:rPr>
        <w:t>Sponsor Earnout Agreement</w:t>
      </w:r>
      <w:r>
        <w:rPr>
          <w:rFonts w:ascii="Times New Roman;Times;Serif" w:hAnsi="Times New Roman;Times;Serif"/>
          <w:b w:val="false"/>
          <w:i w:val="false"/>
          <w:caps w:val="false"/>
          <w:smallCaps w:val="false"/>
          <w:sz w:val="20"/>
        </w:rPr>
        <w:t>”), providing that 8,333,333 shares of Pubco Stock (such shares subject to earnout, the “</w:t>
      </w:r>
      <w:r>
        <w:rPr>
          <w:rFonts w:ascii="Times New Roman;Times;Serif" w:hAnsi="Times New Roman;Times;Serif"/>
          <w:b w:val="false"/>
          <w:i w:val="false"/>
          <w:caps w:val="false"/>
          <w:smallCaps w:val="false"/>
          <w:sz w:val="20"/>
          <w:u w:val="single"/>
        </w:rPr>
        <w:t>Earnout Founder Shares</w:t>
      </w:r>
      <w:r>
        <w:rPr>
          <w:rFonts w:ascii="Times New Roman;Times;Serif" w:hAnsi="Times New Roman;Times;Serif"/>
          <w:b w:val="false"/>
          <w:i w:val="false"/>
          <w:caps w:val="false"/>
          <w:smallCaps w:val="false"/>
          <w:sz w:val="20"/>
        </w:rPr>
        <w:t>”), representing all of the shares of Pubco Stock issuable to the Sponsor or its transferees in exchange for their Class B ordinary shares of CCCM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upon the Closing, shall be subject to transfer restrictions set forth in the Sponsor Earnout Agreement (the “</w:t>
      </w:r>
      <w:r>
        <w:rPr>
          <w:rFonts w:ascii="Times New Roman;Times;Serif" w:hAnsi="Times New Roman;Times;Serif"/>
          <w:b w:val="false"/>
          <w:i w:val="false"/>
          <w:caps w:val="false"/>
          <w:smallCaps w:val="false"/>
          <w:sz w:val="20"/>
          <w:u w:val="single"/>
        </w:rPr>
        <w:t>Sponsor Transfer Restrictions</w:t>
      </w:r>
      <w:r>
        <w:rPr>
          <w:rFonts w:ascii="Times New Roman;Times;Serif" w:hAnsi="Times New Roman;Times;Serif"/>
          <w:b w:val="false"/>
          <w:i w:val="false"/>
          <w:caps w:val="false"/>
          <w:smallCaps w:val="false"/>
          <w:sz w:val="20"/>
        </w:rPr>
        <w:t>”) and shall vest and be released from such restriction only if certain price targets are achieved during the 2-year period following the Closing (the “</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Earnout Agreement provided that the Earnout Founder Shares shall vest and shall no longer be subject to the Sponsor Transfer Restrictions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closing price of the Pubco Stock equals or exceeds $10.21 per share (as may be adjusted) for any 20 trading days within any consecutive 30-trading day period during the Earnout Period (the “</w:t>
      </w:r>
      <w:r>
        <w:rPr>
          <w:rFonts w:ascii="Times New Roman;Times;Serif" w:hAnsi="Times New Roman;Times;Serif"/>
          <w:b w:val="false"/>
          <w:i w:val="false"/>
          <w:caps w:val="false"/>
          <w:smallCaps w:val="false"/>
          <w:sz w:val="20"/>
          <w:u w:val="single"/>
        </w:rPr>
        <w:t>Share Price Trigger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BTC VWAP (as defined below) equals or exceeds $140,000 during any five-day period during the Earnout Period (the “</w:t>
      </w:r>
      <w:r>
        <w:rPr>
          <w:rFonts w:ascii="Times New Roman;Times;Serif" w:hAnsi="Times New Roman;Times;Serif"/>
          <w:b w:val="false"/>
          <w:i w:val="false"/>
          <w:caps w:val="false"/>
          <w:smallCaps w:val="false"/>
          <w:sz w:val="20"/>
          <w:u w:val="single"/>
        </w:rPr>
        <w:t>BTC Price Trigger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Sponsor Earnout Agreement, on such second anniversary, 100% of the Earnout Founder Shares will vest and will no longer be subject to the Sponsor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Stock pursuant to which the Company or its stockholders have the right to receive in such change of control equals or exceeds $10.21 (or the equivalent fair market value thereof, as determined by the board of directors of the Company following the Closing in good faith, in the event of any non-cash consideration), then, all of the Earnout Founder Shares that have not previously vested will vest and shall no longer be subject to the Sponsor Transfer Restrictions.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BTC VWAP” means the dollar volume-weighted average price for Bitcoin (BTC) during any one hundred twenty (120)-hour period ending at the time of determination, as reported by Bloomberg through its “VAP” function for “XBTUSD BGN Currency” (or such other comparable calculation methodology as the Disinterested Independent Directors (as defined in the Sponsor Earnout Agreement) may determine in good faith if such Bloomberg function is no longer available). If the BTC VWAP cannot be calculated for Bitcoin (BTC) on such date on any of the foregoing bases, the BTC VWAP of Bitcoin (BTC) on such date shall be the fair market value as determined by the Disinterested Independent Directors of the Company acting in good faith. All such determinations shall be appropriately adjusted for any stock dividend, stock split, stock combination, recapitalization or other similar transaction during such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3, 2025, the Company and Seller entered into an agreement (the “</w:t>
      </w:r>
      <w:r>
        <w:rPr>
          <w:rFonts w:ascii="Times New Roman;Times;Serif" w:hAnsi="Times New Roman;Times;Serif"/>
          <w:b w:val="false"/>
          <w:i w:val="false"/>
          <w:caps w:val="false"/>
          <w:smallCaps w:val="false"/>
          <w:sz w:val="20"/>
          <w:u w:val="single"/>
        </w:rPr>
        <w:t>Seller Earnout Agreement</w:t>
      </w:r>
      <w:r>
        <w:rPr>
          <w:rFonts w:ascii="Times New Roman;Times;Serif" w:hAnsi="Times New Roman;Times;Serif"/>
          <w:b w:val="false"/>
          <w:i w:val="false"/>
          <w:caps w:val="false"/>
          <w:smallCaps w:val="false"/>
          <w:sz w:val="20"/>
        </w:rPr>
        <w:t>”), providing that 9,500,000 shares of Pubco Stock (such shares subject to earnout, the “</w:t>
      </w:r>
      <w:r>
        <w:rPr>
          <w:rFonts w:ascii="Times New Roman;Times;Serif" w:hAnsi="Times New Roman;Times;Serif"/>
          <w:b w:val="false"/>
          <w:i w:val="false"/>
          <w:caps w:val="false"/>
          <w:smallCaps w:val="false"/>
          <w:sz w:val="20"/>
          <w:u w:val="single"/>
        </w:rPr>
        <w:t>Earnout Seller Shares</w:t>
      </w:r>
      <w:r>
        <w:rPr>
          <w:rFonts w:ascii="Times New Roman;Times;Serif" w:hAnsi="Times New Roman;Times;Serif"/>
          <w:b w:val="false"/>
          <w:i w:val="false"/>
          <w:caps w:val="false"/>
          <w:smallCaps w:val="false"/>
          <w:sz w:val="20"/>
        </w:rPr>
        <w:t>”), representing all of the shares of Pubco Stock otherwise issuable to the Seller upon the Closing, shall be subject to the transfer restrictions set forth in the Seller Earnout Agreement (the “</w:t>
      </w:r>
      <w:r>
        <w:rPr>
          <w:rFonts w:ascii="Times New Roman;Times;Serif" w:hAnsi="Times New Roman;Times;Serif"/>
          <w:b w:val="false"/>
          <w:i w:val="false"/>
          <w:caps w:val="false"/>
          <w:smallCaps w:val="false"/>
          <w:sz w:val="20"/>
          <w:u w:val="single"/>
        </w:rPr>
        <w:t>Seller Transfer Restrictions</w:t>
      </w:r>
      <w:r>
        <w:rPr>
          <w:rFonts w:ascii="Times New Roman;Times;Serif" w:hAnsi="Times New Roman;Times;Serif"/>
          <w:b w:val="false"/>
          <w:i w:val="false"/>
          <w:caps w:val="false"/>
          <w:smallCaps w:val="false"/>
          <w:sz w:val="20"/>
        </w:rPr>
        <w:t>”) and shall vest and be released from such restriction only if certain price targets are achieved during the Earnout Period. The Seller Earnout Agreement provides that the Earnout Seller Shares shall vest and shall no longer be subject to the Seller Transfer Restrictions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Seller Shares will vest and shall no longer be subject to the Seller Transfer Restrictions upon a Share Price Trigger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100% of the Earnout Seller Shares will vest and shall no longer be subject to the Seller Transfer Restrictions upon a BTC Price Trigger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Seller Earnout Agreement, on such second anniversary, 100% of the earnout shares will vest and shall no longer be subject to the Seller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Stock pursuant to which the Company or its stockholders have the right to receive in such change of control equals or exceeds $10.21 (or the equivalent fair market value thereof, as determined by the board of directors of the Company following the Closing in good faith, in the event of any non-cash consideration), then, all of the Earnout Seller Shares that have not previously vested shall vest and shall no longer be subject to the Seller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Put Option Derivative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and December 24, 2025, ProCap Financial, Inc. entered into Bitcoin put option contracts with FalconX that obligate ProCap to buy Bitcoin at a fixed strike price if exercised by the counterparty on the January 30, 2026 expiration date. The aggregate premium for the put option contracts was $534,500, which constitute freestanding derivative instruments and are recorded as a derivative liability on the consolidated balance sheet. The Company does not hedge the put option derivative liability on the consolidate balance sheet and therefore the Company is exposed to market risks related to Bitcoin prices and liquidity risks regarding potential cash flow if the option is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put option contracts was $428,236, and ProCap recognized a $106,264 change in fair value of derivative securities in other income (expense) on the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put option agreements, ProCap was required to post cash collateral to support its obligations under the contracts. As of December 31, 2025, ProCap had $4,645,780 of cash collateral held in a tri-party custodial agreement with BitGo, which is presented as restricted cash on the consolidated balance sheet. The posted collateral is not netted against the fair value of the put option liability.</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terms of the option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Option Transactions</w:t>
      </w:r>
    </w:p>
    <w:tbl>
      <w:tblPr>
        <w:tblW w:w="5398" w:type="dxa"/>
        <w:jc w:val="left"/>
        <w:tblInd w:w="0" w:type="dxa"/>
        <w:tblLayout w:type="fixed"/>
        <w:tblCellMar>
          <w:top w:w="0" w:type="dxa"/>
          <w:left w:w="0" w:type="dxa"/>
          <w:bottom w:w="0" w:type="dxa"/>
          <w:right w:w="0" w:type="dxa"/>
        </w:tblCellMar>
      </w:tblPr>
      <w:tblGrid>
        <w:gridCol w:w="1235"/>
        <w:gridCol w:w="60"/>
        <w:gridCol w:w="246"/>
        <w:gridCol w:w="1708"/>
        <w:gridCol w:w="60"/>
        <w:gridCol w:w="60"/>
        <w:gridCol w:w="246"/>
        <w:gridCol w:w="1708"/>
        <w:gridCol w:w="75"/>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December 23,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option transaction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December 24,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option transaction</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Put currency</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 BTC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 BTC</w:t>
            </w:r>
          </w:p>
        </w:tc>
        <w:tc>
          <w:tcPr>
            <w:tcW w:w="75"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Deliverable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Deliverable</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Preferred Equity Subscription Agreements, Inflection Points purchased 850,000 preferred units for $8,500,000. Refer to Note 14 for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Services Agreement Inflection Points received 10,000,000 shares of common stock. Refer to Note 14 for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promissory note (the “Promissory Note”) with Inflection Points, an entity under common control, for a principal sum of up to $1,000,000. On July 11, 2025, the Company entered into an amended and restated promissory note, to ensure the Company and Procap BTC are listed as recipients of the funds. On October 5, 2025, the Company entered into the second amended and restated the promissory note, to increase the allowable principal draws to be up to $2,000,000. During the period from June 17, 2025 (inception) through December 31, 2025, the Company received $1,777,581 of proceeds from the related-party Promissory Note and made $1,889,562 of repayments, as reflected in the accompanying consolidated statements of cash flows. In addition, $111,981 of amounts due to a related party were converted into the Promissory Note, which is presented as a non-cash financing activity. The Promissory Note bears no stated interest and was payable on the earlier of May 31, 2026 or the date on which the Company consummated the business combination. On December 5, 2025, in connection with the closing of the Business Combination, the Company repaid the outstanding balance of the Promissory Note. As of December 31, 2025, the outstanding balance on the Promissory Note was $0.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Company entered into a commercial sublease agreement with Inflection Points. The sublease terms allow the Company to occupy the premises on a month-to month arrangement starting on October 1, 2025, and ending upon notice of 60 days from either party to the other party. The monthly rent payment under the agreement is $19,600. For the period from June 17, 2025 (Inception) through December 31, 2025, the Company recorded $58,800 of rent expense in the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Segment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officer decision maker (“CODM”) has been identified as the Chief Executive Officer, who uses cash flows as the primary measure to manage the business and does not segment the business for internal reporting or decision making. Accordingly, management has determined that there is only one reportable segment.</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CODM reviews the fair market value of Bitcoin to measure and monitor value and determine the most effective strategy of investment.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of Bitcoin  </w:t>
      </w:r>
    </w:p>
    <w:tbl>
      <w:tblPr>
        <w:tblW w:w="3444" w:type="dxa"/>
        <w:jc w:val="left"/>
        <w:tblInd w:w="0" w:type="dxa"/>
        <w:tblLayout w:type="fixed"/>
        <w:tblCellMar>
          <w:top w:w="0" w:type="dxa"/>
          <w:left w:w="0" w:type="dxa"/>
          <w:bottom w:w="0" w:type="dxa"/>
          <w:right w:w="0" w:type="dxa"/>
        </w:tblCellMar>
      </w:tblPr>
      <w:tblGrid>
        <w:gridCol w:w="1355"/>
        <w:gridCol w:w="60"/>
        <w:gridCol w:w="201"/>
        <w:gridCol w:w="1753"/>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single1 segment and decides how to allocate resources based on net loss that also is reported on the consolidated statements of operations as net loss. As the Company is in the start-up phase, the CODM currently reviews general and administrative expenses to manage and forecast cash to ensure enough capital is available to achieve its business plan over the short-term period (ie less than a year). The CODM also reviews general and administrative costs to manage, maintain and enforce all contractual agreements to ensure costs are aligned with all agreements and budget. General and administrative costs, as reported on the consolidated statement of operations, are the significant segment expenses provided to the CODM on a regular basis.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Segment Expenses  </w:t>
      </w:r>
    </w:p>
    <w:tbl>
      <w:tblPr>
        <w:tblW w:w="4749" w:type="dxa"/>
        <w:jc w:val="left"/>
        <w:tblInd w:w="0" w:type="dxa"/>
        <w:tblLayout w:type="fixed"/>
        <w:tblCellMar>
          <w:top w:w="0" w:type="dxa"/>
          <w:left w:w="0" w:type="dxa"/>
          <w:bottom w:w="0" w:type="dxa"/>
          <w:right w:w="0" w:type="dxa"/>
        </w:tblCellMar>
      </w:tblPr>
      <w:tblGrid>
        <w:gridCol w:w="2570"/>
        <w:gridCol w:w="60"/>
        <w:gridCol w:w="255"/>
        <w:gridCol w:w="1789"/>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For the period from</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(inception) to</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Significant Segment Expenses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 month operating lease arrangement. The Company has elected the short-term lease practical expedient under ASC 842 for this lease and therefore does not recognize a right-of-use asset or lease liability on the consolidated balance sheet for this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 month lease is recognized on a straight-line basis and were $19,600 per month for the period from October 2025 to December 2025. Because the lease is cancellable at any time with no significant penalty, the Company is not committed to future minimum lease payments beyond the monthly term.</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Lease Cost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Cash Flows Information Related to Operating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Minimum Lease Payments Under the Operating Lease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Cash Flow Information Related to Operating Lease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the consolidated financial statements were issued, and no events, other than discussed below, have occurred that would require adjustments to the disclosures in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Non-recognized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Repurchase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entered into privately negotiated notes repurchase agreements (the “Repurchase Agreements”) with certain holders (the “Noteholders”) of certain of our outstanding 0.00% Convertible Senior Secured Notes due 2028 (the “2026 Convertible Notes”) under the Indenture, pursuant to which we agreed to repurchase (the “Repurchase”) approximately $135,400,000 in aggregate principal amount of the 2026 Convertible Notes held by the Noteholders for an aggregate of approximately $119,152,000 in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settled on or about February 10, 2026. Upon settlement of the Repurchase, the aggregate principal amount of the 2026 Convertible Notes outstanding was reduced to approximately $99,600,000.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Indenture, the Company must maintain a 1:1 loan-to-collateral ratio, where Bitcoin is treated as 0.50 to 1.00 and cash is treated as 1.00 to 1.00. As of February 12, 2026, the Company’s collateral composition is as follows: (i) 3,000 Bitcoin and (ii) $26,722,563 in cash, the total amount of which complies with the terms of the Indenture. This collateral composition is subject to change to account for market conditions, including the price of Bitcoin.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and through February 12, 2026, the Company repurchased 904,433 shares of common stock in the open market for $3,190,663, including commissions, at an average price of $3.53 per share. Total shares outstanding after the repurchase were 83,422,775 as of February 12,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Securities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multiple Bitcoin put option contracts with a single counterparty. Under the terms of these contracts, the Company may be required to purchase an aggregate of up to 900 Bitcoin at predetermined strike prices ranging from $70,000 to $80,000 per Bitcoin, subject to counterparty exercise on specified expiration dates in February and March 2026. The aggregate premium received for the put option contracts was $888,750.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Bitcoin put option contracts entered into in December 2025 expired unexercised in January 2026, resulting in the Company retaining the aggregate premiums of $534,500.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an Agreement and Plan of Merger (the “Merger Agreement”) with Silvia Merger Sub, Inc., a Delaware corporation and a direct wholly owned subsidiary of the Company (“Merger Sub”), CFO Silvia, Inc, a Delaware corporation (“CFO Silvia”), Inflection Points Inc, a Delaware corporation (“Inflection Points”), Shain Noor (“Noor” and, together with Inflection Points, the “Sellers”), and Shain Noor, solely in his capacity as the stockholder representative (the “Stockholder Representative”). Under the Merger Agreement, Merger Sub will merge with and into CFO Silvia, with CFO Silvia surviving as a direct wholly owned subsidiary of the Company (the “Merger” or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share of CFO Silvia common stock outstanding immediately prior to the Effective Time (other than dissenting shares and treasury shares) will be converted into the right to receive shares of common stock of the Company, par value $0.001 per share (the “Company Common Stock”), consisting of (i) the per share merger consideration, and (ii) any per share earnout consideration, in each case as described in the Merger Agreement and related spreadsheet to be delivered prior to closing. In addition, each outstanding simple agreement for future equity (“SAFE”) will be terminated at the Effective Time, and each SAFE holder will be entitled to receive a portion of the total merger consideration and earnout shares (if any), in accordance with the Merger Agreement. A portion of the merger consideration otherwise payable to equity holders will be deposited into an escrow account for a period of twelve months to secure indemnification obligations. The shares of Company Common Stock issued in the Merger will be subject to transfer restrictions, including lock-up provisions, as further described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during the earnout period, if the volume-weighted trading price of the Company Common Stock equals or exceeds $9.00 on the applicable measurement date, the Company will issue the earnout shares within ten business days following such date; provided that any earnout shares deliverable to Noor are conditioned upon his continued employment and good standing through the earnout release date, subject to certain exceptions. The earnout may only be achieved and paid once, and Company’s earnout obligations terminate upon issuance of the earnout shares or expiration of the earnout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Merger is intended to qualify as a “reorganization” within the meaning of Section 368(a) of the Internal Revenue Code of 1986, as amended, and the Merger Agreement is intended to constitute a plan of reorganization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customary closing conditions, including the filing of a certificate of merger with the Delaware Secretary of State, specified regulatory approvals (including any required filings under the Hart-Scott-Rodino Antitrust Improvements Act, if applicable), and the receipt of requisite approvals from CFO Silvia stockholders and Company stockholders, among other conditions set forth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32" w:name="a_003"/>
      <w:bookmarkEnd w:id="32"/>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7"/>
        <w:gridCol w:w="60"/>
        <w:gridCol w:w="166"/>
        <w:gridCol w:w="1044"/>
        <w:gridCol w:w="95"/>
        <w:gridCol w:w="60"/>
        <w:gridCol w:w="194"/>
        <w:gridCol w:w="1116"/>
        <w:gridCol w:w="113"/>
      </w:tblGrid>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3" w:type="dxa"/>
            <w:tcBorders/>
            <w:vAlign w:val="center"/>
          </w:tcPr>
          <w:p>
            <w:pPr>
              <w:pStyle w:val="TableContents"/>
              <w:bidi w:val="0"/>
              <w:spacing w:before="0" w:after="283"/>
              <w:jc w:val="center"/>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44,976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197,027</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92,256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2,260</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214,172</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216,450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218,710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50,000,000 authorized shares; no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$0.001 par value; 550,000,000 authorized shares; 94,651,912 shares issued and 88,574,486 shares outstanding as of June 30, 2026, 85,166,604 shares issued and 84,327,208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6,077,426 shares and 839,396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(201,782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420,176</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33" w:name="a_004"/>
      <w:bookmarkEnd w:id="33"/>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1"/>
        <w:gridCol w:w="60"/>
        <w:gridCol w:w="185"/>
        <w:gridCol w:w="1455"/>
        <w:gridCol w:w="155"/>
        <w:gridCol w:w="60"/>
        <w:gridCol w:w="171"/>
        <w:gridCol w:w="1345"/>
        <w:gridCol w:w="155"/>
        <w:gridCol w:w="60"/>
        <w:gridCol w:w="304"/>
        <w:gridCol w:w="2391"/>
        <w:gridCol w:w="113"/>
      </w:tblGrid>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Period from June 10, 2025 (Inception) through</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(49,362</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(expenses) income,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(52,561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24,626</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(175,310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basic</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diluted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diluted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FFFFFF" w:val="clear"/>
            <w:vAlign w:val="center"/>
          </w:tcPr>
          <w:p>
            <w:pPr>
              <w:pStyle w:val="TableContents"/>
              <w:bidi w:val="0"/>
              <w:spacing w:before="0" w:after="283"/>
              <w:jc w:val="right"/>
              <w:rPr/>
            </w:pPr>
            <w:r>
              <w:rPr/>
              <w:t>0.50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34" w:name="a_005"/>
      <w:bookmarkEnd w:id="34"/>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163"/>
        <w:gridCol w:w="937"/>
        <w:gridCol w:w="95"/>
        <w:gridCol w:w="60"/>
        <w:gridCol w:w="188"/>
        <w:gridCol w:w="1182"/>
        <w:gridCol w:w="95"/>
        <w:gridCol w:w="60"/>
        <w:gridCol w:w="199"/>
        <w:gridCol w:w="1141"/>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Balance as of March 31, 2026</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85,563,025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(3,506,452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454,443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(136,735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306,948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3,723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upon settlement of RSU</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(2,570,974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(4,755</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76"/>
        <w:gridCol w:w="1024"/>
        <w:gridCol w:w="95"/>
        <w:gridCol w:w="60"/>
        <w:gridCol w:w="188"/>
        <w:gridCol w:w="1182"/>
        <w:gridCol w:w="95"/>
        <w:gridCol w:w="60"/>
        <w:gridCol w:w="184"/>
        <w:gridCol w:w="1156"/>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85,166,604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(839,396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420,176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7,263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upon settlement of RSU, net of tax</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(1,011</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(5,238,030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(12,753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10, 2025 (inception) to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8"/>
        <w:gridCol w:w="60"/>
        <w:gridCol w:w="60"/>
        <w:gridCol w:w="1100"/>
        <w:gridCol w:w="60"/>
        <w:gridCol w:w="60"/>
        <w:gridCol w:w="140"/>
        <w:gridCol w:w="800"/>
        <w:gridCol w:w="60"/>
        <w:gridCol w:w="60"/>
        <w:gridCol w:w="60"/>
        <w:gridCol w:w="1100"/>
        <w:gridCol w:w="60"/>
        <w:gridCol w:w="60"/>
        <w:gridCol w:w="512"/>
        <w:gridCol w:w="348"/>
        <w:gridCol w:w="60"/>
        <w:gridCol w:w="60"/>
        <w:gridCol w:w="274"/>
        <w:gridCol w:w="436"/>
        <w:gridCol w:w="113"/>
        <w:gridCol w:w="113"/>
        <w:gridCol w:w="507"/>
        <w:gridCol w:w="353"/>
        <w:gridCol w:w="60"/>
        <w:gridCol w:w="60"/>
        <w:gridCol w:w="161"/>
        <w:gridCol w:w="789"/>
        <w:gridCol w:w="60"/>
        <w:gridCol w:w="60"/>
        <w:gridCol w:w="199"/>
        <w:gridCol w:w="1144"/>
        <w:gridCol w:w="78"/>
      </w:tblGrid>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rPr>
            </w:pPr>
            <w:r>
              <w:rPr>
                <w:b/>
              </w:rPr>
              <w:t>Retained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3" w:type="dxa"/>
            <w:gridSpan w:val="2"/>
            <w:tcBorders/>
            <w:vAlign w:val="center"/>
          </w:tcPr>
          <w:p>
            <w:pPr>
              <w:pStyle w:val="TableContents"/>
              <w:bidi w:val="0"/>
              <w:spacing w:before="0" w:after="283"/>
              <w:jc w:val="center"/>
              <w:rPr>
                <w:b/>
              </w:rPr>
            </w:pPr>
            <w:r>
              <w:rPr>
                <w:b/>
              </w:rPr>
              <w:t>Total Stockholders’</w:t>
            </w:r>
          </w:p>
        </w:tc>
        <w:tc>
          <w:tcPr>
            <w:tcW w:w="78" w:type="dxa"/>
            <w:tcBorders/>
            <w:vAlign w:val="center"/>
          </w:tcPr>
          <w:p>
            <w:pPr>
              <w:pStyle w:val="TableContents"/>
              <w:bidi w:val="0"/>
              <w:spacing w:before="0" w:after="283"/>
              <w:jc w:val="center"/>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pPr>
            <w:r>
              <w:rPr/>
              <w:t>Balance, June 10, 2025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FFFFFF" w:val="clear"/>
            <w:vAlign w:val="center"/>
          </w:tcPr>
          <w:p>
            <w:pPr>
              <w:pStyle w:val="TableContents"/>
              <w:bidi w:val="0"/>
              <w:spacing w:before="0" w:after="283"/>
              <w:jc w:val="left"/>
              <w:rPr/>
            </w:pPr>
            <w:r>
              <w:rPr/>
              <w:t>Issuance of common units pursuant to the Investment Consulting and Marketing Services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pPr>
            <w:r>
              <w:rPr/>
              <w:t>Issuance of preferred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451,702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451,702</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FFFFFF" w:val="clear"/>
            <w:vAlign w:val="center"/>
          </w:tcPr>
          <w:p>
            <w:pPr>
              <w:pStyle w:val="TableContents"/>
              <w:bidi w:val="0"/>
              <w:spacing w:before="0" w:after="283"/>
              <w:jc w:val="left"/>
              <w:rPr/>
            </w:pPr>
            <w:r>
              <w:rPr/>
              <w:t>Issuance of preferred units,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8,500</w:t>
            </w:r>
          </w:p>
        </w:tc>
        <w:tc>
          <w:tcPr>
            <w:tcW w:w="78" w:type="dxa"/>
            <w:tcBorders/>
            <w:shd w:fill="FFFFFF" w:val="clear"/>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pPr>
            <w:r>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p>
        </w:tc>
      </w:tr>
      <w:tr>
        <w:trPr/>
        <w:tc>
          <w:tcPr>
            <w:tcW w:w="1138" w:type="dxa"/>
            <w:tcBorders/>
            <w:shd w:fill="FFFFFF" w:val="clear"/>
            <w:vAlign w:val="center"/>
          </w:tcPr>
          <w:p>
            <w:pPr>
              <w:pStyle w:val="TableContents"/>
              <w:bidi w:val="0"/>
              <w:spacing w:before="0" w:after="283"/>
              <w:jc w:val="left"/>
              <w:rPr>
                <w:b/>
              </w:rPr>
            </w:pPr>
            <w:r>
              <w:rPr>
                <w:b/>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460,202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484,820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35" w:name="a_006"/>
      <w:bookmarkEnd w:id="35"/>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9"/>
        <w:gridCol w:w="60"/>
        <w:gridCol w:w="230"/>
        <w:gridCol w:w="1440"/>
        <w:gridCol w:w="95"/>
        <w:gridCol w:w="60"/>
        <w:gridCol w:w="243"/>
        <w:gridCol w:w="1535"/>
        <w:gridCol w:w="113"/>
      </w:tblGrid>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Period from</w:t>
            </w:r>
          </w:p>
          <w:p>
            <w:pPr>
              <w:pStyle w:val="TableContents"/>
              <w:bidi w:val="0"/>
              <w:jc w:val="center"/>
              <w:rPr>
                <w:rFonts w:ascii="Times New Roman;Times;Serif" w:hAnsi="Times New Roman;Times;Serif"/>
                <w:b/>
              </w:rPr>
            </w:pPr>
            <w:r>
              <w:rPr>
                <w:rFonts w:ascii="Times New Roman;Times;Serif" w:hAnsi="Times New Roman;Times;Serif"/>
                <w:b/>
              </w:rPr>
              <w:t>June 10,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(Inception) through</w:t>
            </w:r>
          </w:p>
        </w:tc>
        <w:tc>
          <w:tcPr>
            <w:tcW w:w="113" w:type="dxa"/>
            <w:tcBorders/>
            <w:vAlign w:val="center"/>
          </w:tcPr>
          <w:p>
            <w:pPr>
              <w:pStyle w:val="TableContents"/>
              <w:bidi w:val="0"/>
              <w:spacing w:before="0" w:after="283"/>
              <w:jc w:val="center"/>
              <w:rPr/>
            </w:pPr>
            <w:r>
              <w:rPr/>
              <w:t> </w:t>
            </w:r>
          </w:p>
        </w:tc>
      </w:tr>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to reconcile net (loss)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investors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CFO Silvia, net of cash acquired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fixed assets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as consideration for CFO Silvia Acquisition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Share-settled earnout consideration for CFO Silvia Acquisition</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32,000</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56,299</w:t>
            </w:r>
          </w:p>
        </w:tc>
        <w:tc>
          <w:tcPr>
            <w:tcW w:w="113" w:type="dxa"/>
            <w:tcBorders/>
            <w:shd w:fill="FFFFFF" w:val="clear"/>
            <w:vAlign w:val="center"/>
          </w:tcPr>
          <w:p>
            <w:pPr>
              <w:pStyle w:val="TableContents"/>
              <w:bidi w:val="0"/>
              <w:spacing w:before="0" w:after="283"/>
              <w:jc w:val="left"/>
              <w:rPr/>
            </w:pPr>
            <w:r>
              <w:rPr/>
              <w:t> </w:t>
            </w:r>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36" w:name="a_007"/>
      <w:bookmarkEnd w:id="36"/>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(the “Company” or “ProCap”) was founded in June 2025 and, together with its subsidiaries, is a U.S.-based modern finance company focused on developing technology-enabled products and services that leverage artificial intelligence (“AI”), data analytics, and automation to support financial analysis, investment research, and investor decision support. The Company’s mission is to help independent investors make money. Historically, the Company’s operations included investor-focused media, educational content, and strategic investments designed to support independent investors through digital platforms and other content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completed a business combination with Columbus Circle Capital Corp I (“CCCM”) (the “Transaction”), which was accounted for as a reverse recapitalization in accordance with U.S. generally accepted accounting principles (“GAAP”). ProCap BTC, LLC (“ProCap BTC”) was determined to be the accounting acquirer and CCCM was treated as the acquired company for financial reporting purposes. The Company was deemed to be the accounting acquirer based on Accounting Standard Update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xml:space="preserve"> which we early adopted. Following the Transaction, ProCap became the publicly traded parent company, and ProCap BTC became its operating subsidiary. As a result, the historical financial statements of ProCap BTC became the historical financial statements of the Company. Accordingly, the comparative financial information presented for periods prior to the Transaction, including the period from June 10, 2025 (inception) through June 30, 2025, reflects the historical results of ProCap BTC.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expanded its strategic focus through investments in AI-enabled financial technology solutions designed to enhance portfolio analysis, financial planning, and investor decision support. As part of this initiative, the Company launched ProCap Insights, an agentic financial research offering, and acquired CFO Silvia, Inc. (“CFO Silvia”), an AI agent lab focused on finance. The acquisition was completed on April 6, 2026, (the “Acquisition Date”), and CFO Silvia became a wholly owned subsidiary of the Company, see Footnote 3 –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for the three and six months ended June 30, 2026 reflect continued investment in the development of its AI-enabled financial technology platform, strategic investments, Bitcoin holdings and the acquisition and integration of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unaudited consolidated financial statements have been prepared in accordance with GAAP for interim financial information and pursuant to the rules and regulations of the U.S. Securities and Exchange Commission. Accordingly, they do not include all information and disclosures required by GAAP for complete annual financial statements. In the opinion of management, all adjustments considered necessary for a fair presentation of the interim periods presented have been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periods presented are not necessarily indicative of the results that may be expected for the full year. These condensed unaudited consolidated financial statements should be read in conjunction with the audited consolidated financial statements and related notes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ProCap Financial, Inc. and the Company’s wholly-owned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unaudited condensed consolidated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the fair values of the assets acquired and liabilities assumed in the CFO Silvia acquisition, including acquired identifiable intangible assets and their estimated useful lives, the fair value of the contingent consideration issuable under the share-settled earnout arrangement, valuations of the conversion feature liability associated with the Convertible Note,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$15.3 million and working capital of approximately ($77.3 million). The negative working capital resulted primarily from the Convertible Notes that can, at the option of the holders, be repurchased for cash in June 2027 (see further in Note 7). The Company believes it has sufficient resources to meet this potential obligation, primarily through its holding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of the Accounting Standards Codification (“ASC”) 805, Business Combinations, in accounting for its acquisitions. The assets acquired and liabilities assumed are recognized at their acquisition date fair values, and goodwill is measured as the excess of consideration transferred over the acquisition date fair values of the assets acquired and the liabilities assumed. While the Company uses its best estimates and assumptions to accurately value assets acquired and liabilities assumed at the acquisition date, estimates are inherently uncertain and subject to refinement. As a result, during the measurement period, which shall not exceed one year from the acquisition date, the Company records adjustments to the assets acquired and liabilities assumed with a corresponding offset to goodwill. Upon the conclusion of the measurement period or final determination of the values of assets acquired or liabilities assumed, whichever comes first, any subsequent adjustments are recorded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all available information to estimate fair values, including quoted market prices, the carrying value of acquired assets and assumed liabilities and valuation techniques. The judgments made in determining the estimated fair value assigned to each class of assets acquired and liabilities assumed, as well as the useful lives of the assets acquired, can materially impact the Company’s financial condition or results of operations. Other estimates associated with the accounting for acquisitions may change as additional information becomes available regarding the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initially recorded at their estimated fair values as of the acquisition date and are amortized on a straight-line basis over their estimated useful lives. The Company reviews finite-lived intangible assets for impairment whenever events or changes in circumstances indicate that the carrying amount may not be recoverable. Intangible asset amortization expense of $1.2 million for the six months ended June 30, 2026 is recorded within general and administrative expenses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carrying value of intangible assets at June 30, 2026, estimated amortization expense for the subsequent five years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Carrying Value of Intangible Assets</w:t>
      </w:r>
    </w:p>
    <w:tbl>
      <w:tblPr>
        <w:tblW w:w="6100" w:type="dxa"/>
        <w:jc w:val="left"/>
        <w:tblInd w:w="0" w:type="dxa"/>
        <w:tblLayout w:type="fixed"/>
        <w:tblCellMar>
          <w:top w:w="0" w:type="dxa"/>
          <w:left w:w="0" w:type="dxa"/>
          <w:bottom w:w="0" w:type="dxa"/>
          <w:right w:w="0" w:type="dxa"/>
        </w:tblCellMar>
      </w:tblPr>
      <w:tblGrid>
        <w:gridCol w:w="5105"/>
        <w:gridCol w:w="60"/>
        <w:gridCol w:w="146"/>
        <w:gridCol w:w="714"/>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2026 (excluding the six months ended June 30, 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2,369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4,739</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4,739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1,299</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152</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2031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152</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645</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14,095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net assets acquired in a business combination. Goodwill is not amortized but is tested for impairment at least annually and more frequently if events or changes in circumstances indicate that impairment may exist. The Company may perform a qualitative assessment to determine whether it is more likely than not that the fair value of a reporting unit is less than its carrying amount. If necessary, the Company performs a quantitative impairment test and recognizes an impairment loss for the amount by which the carrying amount of the reporting unit exceeds its fair value, limited to the amount of goodwill allocated to the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At contract inception, the Company determines whether an arrangement contains a lease based on whether it conveys the right to control the use of an identified asset for a period of time in exchange for consideration. The Company has elected the practical expedient under ASC 842 to account for lease and non-lease components as a single lease component for its studio lease. Variable payments associated with cleaning services, utilities, building amenities, and other operating costs are recognized as lease expense in the period incurred and are not included in the measurement of the lease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an underlying asset over the lease term, and lease liabilities represent the Company’s obligation to make lease payments arising from the lease. ROU assets and lease liabilities are recognized at the lease commencement date based on the present value of lease payments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measured using the present value of fixed lease payments. The Company uses its incremental borrowing rate at the commencement date to discount the lease payments, as the rate implicit in the lease is generally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are measured as the initial amount of the lease liability, adjusted for lease prepayments, initial direct costs, and lease incentives received.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short-term lease exemption for leases with an initial term of 12 months or less; such leases are not recognized on the balance sheet and lease payments are recognized as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presented on the Company’s unaudited condensed consolidated balance sheet as ROU assets, lease liability, current, and lease liability, non-current. Cash payments for operating leases are included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recently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FASB issued ASU No. 2024-04, Debt—Debt with Conversion and Other Options (Subtopic 470-20): Induced Conversions of Convertible Debt Instruments. This ASU provides guidance on the accounting for induced conversions of convertible debt instruments and eliminates the current requirement to recognize an expense equal to the fair value of all securities and other consideration transferred in an induced conversion that is in excess of the fair value of securities issuable pursuant to the original conversion terms. The amendments are effective for fiscal years beginning after December 15, 2025,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Financial Instruments - Credit Losses (Topic 326): Simplifications to the Current Expected Credit Losses Model for Certain Financial Assets. </w:t>
      </w:r>
      <w:r>
        <w:rPr>
          <w:rFonts w:ascii="Times New Roman;Times;Serif" w:hAnsi="Times New Roman;Times;Serif"/>
          <w:b w:val="false"/>
          <w:i w:val="false"/>
          <w:caps w:val="false"/>
          <w:smallCaps w:val="false"/>
          <w:sz w:val="20"/>
        </w:rPr>
        <w:t>This ASU introduces a practical expedient that permits entities to estimate expected credit losses for certain short-term financial assets, including trade receivables and contract assets, based on current conditions without requiring reasonable and supportable forecasts. The new guidance is effective for fiscal years beginning after December 15, 2025, including interim periods within those fiscal years,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FASB issued ASU No. 2024-03, Income Statement—Reporting Comprehensive Income—Expense Disaggregation Disclosures (Subtopic 220-40). The update improves financial reporting by requiring that public 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This update is effective for fiscal years beginning after December 15, 2026, and early adoption is permitted. Additionally, in January 2025, the FASB issued ASU No. 2025-01,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xml:space="preserve"> (Subtopic 220-40). ASU No. 2025-01 amends the effective date of ASU No. 2024-03 to clarify the initial effective date for entities that do not 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The amendments should be applied prospectively with retrospective applications also permitted. The Company is currently evaluating the impact the standard will have on its consolidated financial statements and related disclosures, however, the Company does not expect the adoption of this guidance to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Acquisition Date, the Company acquired 100% of the outstanding equity interests of CFO Silvia (the “CFO Silvia Acquisition”) pursuant to the Agreement and Plan of Merger (the “Merger Agreement”) by and among the Company, Silvia Merger Sub, Inc., CFO Silvia, Inflection Points Inc., Shain Noor, and Shain Noor as Stockholder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is a financial technology company that has developed a consumer-facing platform that organizes data and delivers financial summaries to users through an interactive interface. The Company acquired CFO Silvia largely to obtain access to the user platform, which management expects to leverage to broaden the Company’s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CFO Silvia Acquisition, all outstanding options and other equity-linked interests of CFO Silvia were accelerated and converted into equity interests in accordance with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consideration transferred in connection with the CFO Silvia Acquisition was $23.3 million, consisting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 consideration of $16.0 million, consisting of 8,416,951 shares of the Company’s common stock based on the Company’s closing stock price on the Acquisition Date of $1.90, including 900,000 shares deposited into an escrow account to secure certain indemnification obligations for a period of twelve months following the Acquisition date. The former equity holders of CFO Silvia remain the beneficial owners of the escrowed shares and retain voting and dividend rights during the escrow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Contingent consideration of $5.9 million related to fair value of 4,643,250 potential earnout shares issuable upon the achievement of specified market-based conditions. Pursuant to the Merger Agreement, the earnout shares will be issued if the Company’s common stock price equals or exceeds $9.00 per share during the contractual measurement period. The fair value of the contingent consideration was estimated using a Monte Carlo simulation model that incorporated assumptions regarding expected stock price volatility, risk-free interest rates and the probability of achieving the market condition. The undiscounted range of outcomes associated with the arrangement is either (i) no shares issued or (ii) issuance of 4,643,250 shares upon achievement of the specified market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consideration of $1.4 million related to the repayment of CFO Silvia’s indebtedness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also agreed to pay a $5.0 million signing bonus to Shain Noor. This arrangement was determined to be separate from the transaction and is accounted for as compensation expense. In addition, certain earnout share arrangements granted to Shain Noor were determined to be compensation arrangements and were accounted for as share-based compensation. See Note 11, Share-Based Compensation,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fair value of assets acquired and liabilities assumed as of the Acquisition Date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Assets Acquired And Liabilities Assumed</w:t>
      </w:r>
    </w:p>
    <w:tbl>
      <w:tblPr>
        <w:tblW w:w="5355" w:type="dxa"/>
        <w:jc w:val="left"/>
        <w:tblInd w:w="0" w:type="dxa"/>
        <w:tblLayout w:type="fixed"/>
        <w:tblCellMar>
          <w:top w:w="0" w:type="dxa"/>
          <w:left w:w="0" w:type="dxa"/>
          <w:bottom w:w="0" w:type="dxa"/>
          <w:right w:w="0" w:type="dxa"/>
        </w:tblCellMar>
      </w:tblPr>
      <w:tblGrid>
        <w:gridCol w:w="4295"/>
        <w:gridCol w:w="60"/>
        <w:gridCol w:w="151"/>
        <w:gridCol w:w="739"/>
        <w:gridCol w:w="110"/>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110" w:type="dxa"/>
            <w:tcBorders/>
            <w:vAlign w:val="center"/>
          </w:tcPr>
          <w:p>
            <w:pPr>
              <w:pStyle w:val="TableContents"/>
              <w:bidi w:val="0"/>
              <w:spacing w:before="0" w:after="283"/>
              <w:jc w:val="center"/>
              <w:rPr/>
            </w:pPr>
            <w:r>
              <w:rPr/>
              <w:t> </w:t>
            </w:r>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15,280</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12,671</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95"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pPr>
            <w:r>
              <w:rPr/>
              <w:t>(3,082</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net assets acquired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resulted in the recognition of identifiable intangible assets consisting of a trademark, non-compete agreement and user platform with estimated fair values of approximately $1.5 million, $2.3 million and $11.4 million, respectively. The trademark was assigned an estimated useful life of 10 years, while the non-compete agreement and user platform were each assigned estimated useful lives of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remains subject to measurement period adjustments related to the finalization of certain income tax matters and the valuation of acquired assets and liabilities assumed. Accordingly, the provisional amounts recognized at the Acquisition Date may be adjusted during the measurement period, which will not exceed one year from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CFO Silvia Acquisition accounting resulted in the recognition of goodwill of $12.7 million. Goodwill is attributable primarily to expected synergies from integrating CFO Silvia’s proprietary technology platform and related capabilities into the Company’s existing operations, as well as future growth opportunities and the value of the assembled workforce that does not meet the criteria for separate recognition as an identifiable intangible asset. The goodwill recognized is not expected to be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approximately $1.4 million of expenses directly related to the CFO Silvia Acquisition, which were included in “general and administrative expenses” in the unaudited condensed consolidated statements of operations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net loss attributable to CFO Silvia included in the Company’s unaudited condensed consolidated statements of operations from April 6, 2026 through June 30, 2026 were $12 thousand and $8.4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Unaudited Pro Forma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unaudited pro forma consolidated financial information presents the results of operations of the Company for the three and six months ended June 30, 2026, as if the CFO Silvia Acquisition had occurred on January 1, 2026. Because CFO Silvia was incorporated on September 19, 2025, supplemental pro forma revenue and earnings information for the three and six months ended June 30, 2025 has not been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gives effect to certain purchase accounting adjustments related to the CFO Silvia Acquisition and is based on the historical financial statements of ProCap. It is presented for illustrative purposes only and is not necessarily indicative of the Company’s actual operating results had the CFO Silvia Acquisition occurred on January 1, 2026, nor is it indicative of future results (In thousands).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Proforma Information of Operations </w:t>
      </w:r>
    </w:p>
    <w:tbl>
      <w:tblPr>
        <w:tblW w:w="3644" w:type="dxa"/>
        <w:jc w:val="left"/>
        <w:tblInd w:w="0" w:type="dxa"/>
        <w:tblLayout w:type="fixed"/>
        <w:tblCellMar>
          <w:top w:w="0" w:type="dxa"/>
          <w:left w:w="0" w:type="dxa"/>
          <w:bottom w:w="0" w:type="dxa"/>
          <w:right w:w="0" w:type="dxa"/>
        </w:tblCellMar>
      </w:tblPr>
      <w:tblGrid>
        <w:gridCol w:w="875"/>
        <w:gridCol w:w="60"/>
        <w:gridCol w:w="404"/>
        <w:gridCol w:w="2195"/>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three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875"/>
        <w:gridCol w:w="60"/>
        <w:gridCol w:w="331"/>
        <w:gridCol w:w="2073"/>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six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adjustments to net loss for the three months and six months ended June 30, 2026 include adjustments for amortization of acquired identifiable intangible assets related to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June 30, 2026 and December 31, 2025, respectively (In thousands, except for crypto asset quantities):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Significant Digital Assets Holdings</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 2026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fair values of the Company’s digital assets for the six months ended June 30, 2026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Reconciliation of digital assets</w:t>
      </w:r>
    </w:p>
    <w:tbl>
      <w:tblPr>
        <w:tblW w:w="6104" w:type="dxa"/>
        <w:jc w:val="left"/>
        <w:tblInd w:w="0" w:type="dxa"/>
        <w:tblLayout w:type="fixed"/>
        <w:tblCellMar>
          <w:top w:w="0" w:type="dxa"/>
          <w:left w:w="0" w:type="dxa"/>
          <w:bottom w:w="0" w:type="dxa"/>
          <w:right w:w="0" w:type="dxa"/>
        </w:tblCellMar>
      </w:tblPr>
      <w:tblGrid>
        <w:gridCol w:w="4880"/>
        <w:gridCol w:w="60"/>
        <w:gridCol w:w="145"/>
        <w:gridCol w:w="909"/>
        <w:gridCol w:w="110"/>
      </w:tblGrid>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unrealized loss on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June 30, 2026</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w:t>
      </w:r>
    </w:p>
    <w:tbl>
      <w:tblPr>
        <w:tblW w:w="8100" w:type="dxa"/>
        <w:jc w:val="left"/>
        <w:tblInd w:w="0" w:type="dxa"/>
        <w:tblLayout w:type="fixed"/>
        <w:tblCellMar>
          <w:top w:w="0" w:type="dxa"/>
          <w:left w:w="0" w:type="dxa"/>
          <w:bottom w:w="0" w:type="dxa"/>
          <w:right w:w="0" w:type="dxa"/>
        </w:tblCellMar>
      </w:tblPr>
      <w:tblGrid>
        <w:gridCol w:w="4475"/>
        <w:gridCol w:w="60"/>
        <w:gridCol w:w="283"/>
        <w:gridCol w:w="1132"/>
        <w:gridCol w:w="60"/>
        <w:gridCol w:w="60"/>
        <w:gridCol w:w="391"/>
        <w:gridCol w:w="15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center"/>
              <w:rPr/>
            </w:pPr>
            <w:r>
              <w:rPr/>
              <w:t> </w:t>
            </w:r>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other</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Fixed Assets, net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consist of the following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Fixed Assets</w:t>
      </w:r>
    </w:p>
    <w:tbl>
      <w:tblPr>
        <w:tblW w:w="6683" w:type="dxa"/>
        <w:jc w:val="left"/>
        <w:tblInd w:w="0" w:type="dxa"/>
        <w:tblLayout w:type="fixed"/>
        <w:tblCellMar>
          <w:top w:w="0" w:type="dxa"/>
          <w:left w:w="0" w:type="dxa"/>
          <w:bottom w:w="0" w:type="dxa"/>
          <w:right w:w="0" w:type="dxa"/>
        </w:tblCellMar>
      </w:tblPr>
      <w:tblGrid>
        <w:gridCol w:w="2990"/>
        <w:gridCol w:w="60"/>
        <w:gridCol w:w="380"/>
        <w:gridCol w:w="1034"/>
        <w:gridCol w:w="95"/>
        <w:gridCol w:w="60"/>
        <w:gridCol w:w="574"/>
        <w:gridCol w:w="1380"/>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calculated using the straight-line method, was approximately $26 thousand and $65 thousand for the three and six months ended June 30, 2026, respectively. Depreciation expense for the period from June 10, 2025 (Inception) through June 30, 2025 was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value of the Company’s outstanding debt consisted of the following, as of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Debt</w:t>
      </w:r>
    </w:p>
    <w:tbl>
      <w:tblPr>
        <w:tblW w:w="6173" w:type="dxa"/>
        <w:jc w:val="left"/>
        <w:tblInd w:w="0" w:type="dxa"/>
        <w:tblLayout w:type="fixed"/>
        <w:tblCellMar>
          <w:top w:w="0" w:type="dxa"/>
          <w:left w:w="0" w:type="dxa"/>
          <w:bottom w:w="0" w:type="dxa"/>
          <w:right w:w="0" w:type="dxa"/>
        </w:tblCellMar>
      </w:tblPr>
      <w:tblGrid>
        <w:gridCol w:w="2705"/>
        <w:gridCol w:w="60"/>
        <w:gridCol w:w="203"/>
        <w:gridCol w:w="986"/>
        <w:gridCol w:w="95"/>
        <w:gridCol w:w="60"/>
        <w:gridCol w:w="290"/>
        <w:gridCol w:w="1664"/>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net (1)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issuance costs, net (2)</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Convertible Notes,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214,172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as of June 30,2026 consisted of $7.1 million of original issue discount and $4.6 million for the initial fair value of the embedded derivative, less accumulated amortization of $1.3 million, gain on debt extinguishment of $6.4 million.</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as of June 30, 2026 consisted of $9.7 million in debt issuance costs, less accumulated amortization of $1.1 million and gain on debt extinguishment of $5.3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fair value of the Convertible Notes due 2028 as of June 30, 2026 and December 31, 2025 were $92.1 million and $225.7 million, respectively, based on an implied yield of 8.72% (Level 3 inputs). A change in those inputs to a different amount might result in a significantly higher or lower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disaggregation of interest expense for the period June 30, 2026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Disaggregation of Interest Expense</w:t>
      </w:r>
    </w:p>
    <w:tbl>
      <w:tblPr>
        <w:tblW w:w="5290" w:type="dxa"/>
        <w:jc w:val="left"/>
        <w:tblInd w:w="0" w:type="dxa"/>
        <w:tblLayout w:type="fixed"/>
        <w:tblCellMar>
          <w:top w:w="0" w:type="dxa"/>
          <w:left w:w="0" w:type="dxa"/>
          <w:bottom w:w="0" w:type="dxa"/>
          <w:right w:w="0" w:type="dxa"/>
        </w:tblCellMar>
      </w:tblPr>
      <w:tblGrid>
        <w:gridCol w:w="3020"/>
        <w:gridCol w:w="60"/>
        <w:gridCol w:w="427"/>
        <w:gridCol w:w="1708"/>
        <w:gridCol w:w="75"/>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75" w:type="dxa"/>
            <w:tcBorders/>
            <w:vAlign w:val="center"/>
          </w:tcPr>
          <w:p>
            <w:pPr>
              <w:pStyle w:val="TableContents"/>
              <w:bidi w:val="0"/>
              <w:spacing w:before="0" w:after="283"/>
              <w:jc w:val="center"/>
              <w:rPr/>
            </w:pPr>
            <w:r>
              <w:rPr/>
              <w:t> </w:t>
            </w:r>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have a conversion rate of 76.9 shares per $1,000 equal to an approximately $13.00 conversion price, zero interest rate, maturity of up to 36 months, and are collateralized by certain Bitcoin assets. Under the indenture associated with the Convertible Notes, the Company must maintain at all times a 1.0:2.0 (loan-to-collateral ratio compliance level) times collateralization of the Convertible Notes using a mix of Bitcoin (with Bitcoin being valued at 50% for collateral calculation purposes), and cash and cash equivalents (with cash and cash equivalents being valued at 100% for collateral calculation purposes). As of June 30, 2026, the Company had 3,515 Bitcoin on deposit, of which only 3,404 Bitcoin were required to be used as collateral, at Anchorage Digital Bank, N.A as collateral for the Convertible Notes. The Company retains sole discretion and control over Bitcoin held as collateral. Lenders have no rights to sell, pledge and re-hypothecate this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privately negotiated note repurchase agreements with certain holders of its outstanding Convertible Notes and repurchased $135.4 million in aggregate principal amount for an aggregate cash purchase price of $119.2 million. Following the transaction, $99.6 million aggregate principal amount of Convertible Notes remained outstanding. The Company accounted for the transaction as a debt extinguishment and recognized a gain on extinguishment of debt of $5.9 million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net gain on the extinguishment of debt (In thousands):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Gain on Extinguishment of Debt</w:t>
      </w:r>
    </w:p>
    <w:tbl>
      <w:tblPr>
        <w:tblW w:w="8310" w:type="dxa"/>
        <w:jc w:val="left"/>
        <w:tblInd w:w="0" w:type="dxa"/>
        <w:tblLayout w:type="fixed"/>
        <w:tblCellMar>
          <w:top w:w="0" w:type="dxa"/>
          <w:left w:w="0" w:type="dxa"/>
          <w:bottom w:w="0" w:type="dxa"/>
          <w:right w:w="0" w:type="dxa"/>
        </w:tblCellMar>
      </w:tblPr>
      <w:tblGrid>
        <w:gridCol w:w="6830"/>
        <w:gridCol w:w="60"/>
        <w:gridCol w:w="223"/>
        <w:gridCol w:w="1087"/>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extinguishment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debt</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Excess of the net carrying amount of the repurchased Convertible Notes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discount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issuance costs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conversion feature derivative liability</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cash payment as a financing activity in its unaudited condensed consolidated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principal amount of loan maturities due over the next five years as of June 30, 2026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Loan Maturities</w:t>
      </w:r>
    </w:p>
    <w:p>
      <w:pPr>
        <w:pStyle w:val="TextBody"/>
        <w:bidi w:val="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1985"/>
        <w:gridCol w:w="60"/>
        <w:gridCol w:w="268"/>
        <w:gridCol w:w="172"/>
        <w:gridCol w:w="64"/>
        <w:gridCol w:w="64"/>
        <w:gridCol w:w="133"/>
        <w:gridCol w:w="631"/>
        <w:gridCol w:w="64"/>
        <w:gridCol w:w="64"/>
        <w:gridCol w:w="268"/>
        <w:gridCol w:w="172"/>
        <w:gridCol w:w="64"/>
        <w:gridCol w:w="64"/>
        <w:gridCol w:w="268"/>
        <w:gridCol w:w="172"/>
        <w:gridCol w:w="64"/>
        <w:gridCol w:w="64"/>
        <w:gridCol w:w="268"/>
        <w:gridCol w:w="172"/>
        <w:gridCol w:w="64"/>
        <w:gridCol w:w="64"/>
        <w:gridCol w:w="133"/>
        <w:gridCol w:w="631"/>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28"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5-Year Loan Maturities Fiscal Year</w:t>
            </w:r>
          </w:p>
        </w:tc>
        <w:tc>
          <w:tcPr>
            <w:tcW w:w="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2027</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2028</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2029</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2030</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center"/>
              <w:rPr/>
            </w:pPr>
            <w:r>
              <w:rPr/>
              <w:t> </w:t>
            </w:r>
          </w:p>
        </w:tc>
      </w:tr>
      <w:tr>
        <w:trPr/>
        <w:tc>
          <w:tcPr>
            <w:tcW w:w="1985" w:type="dxa"/>
            <w:tcBorders/>
            <w:shd w:fill="CCEEFF" w:val="clear"/>
            <w:vAlign w:val="center"/>
          </w:tcPr>
          <w:p>
            <w:pPr>
              <w:pStyle w:val="TableContents"/>
              <w:bidi w:val="0"/>
              <w:spacing w:before="0" w:after="283"/>
              <w:jc w:val="both"/>
              <w:rPr>
                <w:sz w:val="20"/>
              </w:rPr>
            </w:pPr>
            <w:r>
              <w:rPr>
                <w:sz w:val="20"/>
              </w:rPr>
              <w:t>2028 Convertible Notes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Convertible Notes mature in December 2028, the holders have the right to require the Company to repurchase all or a portion of Convertible Notes for cash at a price equal to 100% of outstanding principal amount anytime on June 5, 2027 (“Repurchase Date”). Because the Repurchase Date occurs within twelve months of June 30, 2026, the carrying amount of the Convertible Notes is presented as current in the unaudited condensed consolidated balance sheet. As of June 30, 2026, the Company held cash and cash equivalents of approximately $15.3 million and 5,355 Bitcoin with an aggregate fair value of approximately $313.4 million. The principal payments reflected in the contractual maturities table above assume that holders exercise their repurchase right on the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June 30, 2026 and December 31, 2025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Assets and Liabilities Measured at Fair Value </w:t>
      </w:r>
    </w:p>
    <w:tbl>
      <w:tblPr>
        <w:tblW w:w="10205" w:type="dxa"/>
        <w:jc w:val="left"/>
        <w:tblInd w:w="0" w:type="dxa"/>
        <w:tblLayout w:type="fixed"/>
        <w:tblCellMar>
          <w:top w:w="0" w:type="dxa"/>
          <w:left w:w="0" w:type="dxa"/>
          <w:bottom w:w="0" w:type="dxa"/>
          <w:right w:w="0" w:type="dxa"/>
        </w:tblCellMar>
      </w:tblPr>
      <w:tblGrid>
        <w:gridCol w:w="2669"/>
        <w:gridCol w:w="60"/>
        <w:gridCol w:w="196"/>
        <w:gridCol w:w="1126"/>
        <w:gridCol w:w="68"/>
        <w:gridCol w:w="68"/>
        <w:gridCol w:w="288"/>
        <w:gridCol w:w="1652"/>
        <w:gridCol w:w="68"/>
        <w:gridCol w:w="68"/>
        <w:gridCol w:w="1284"/>
        <w:gridCol w:w="872"/>
        <w:gridCol w:w="68"/>
        <w:gridCol w:w="68"/>
        <w:gridCol w:w="550"/>
        <w:gridCol w:w="1021"/>
        <w:gridCol w:w="79"/>
      </w:tblGrid>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39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June 30, 2026</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 at</w:t>
              <w:br/>
              <w:t>June 30, 2026</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21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 other observable inputs</w:t>
              <w:br/>
              <w:t>(Level 2)</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57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15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71"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313,401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6"/>
        <w:gridCol w:w="60"/>
        <w:gridCol w:w="247"/>
        <w:gridCol w:w="1309"/>
        <w:gridCol w:w="72"/>
        <w:gridCol w:w="72"/>
        <w:gridCol w:w="333"/>
        <w:gridCol w:w="1908"/>
        <w:gridCol w:w="72"/>
        <w:gridCol w:w="72"/>
        <w:gridCol w:w="892"/>
        <w:gridCol w:w="606"/>
        <w:gridCol w:w="72"/>
        <w:gridCol w:w="72"/>
        <w:gridCol w:w="250"/>
        <w:gridCol w:w="1001"/>
        <w:gridCol w:w="81"/>
      </w:tblGrid>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fair value at </w:t>
              <w:br/>
              <w:t>December 31, 2025</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2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49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observable inputs</w:t>
              <w:br/>
              <w:t>(Level 2)</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241"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444,497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 liability associated with the Company’s Convertible Notes is measured at fair value using a Black-Scholes option pricing model and is classified within Level 3 of the fair value hierarchy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used in determining the fair value of the conversion feature liability are presented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Key Input Measurement For Fair Value</w:t>
      </w:r>
    </w:p>
    <w:tbl>
      <w:tblPr>
        <w:tblW w:w="6585" w:type="dxa"/>
        <w:jc w:val="left"/>
        <w:tblInd w:w="0" w:type="dxa"/>
        <w:tblLayout w:type="fixed"/>
        <w:tblCellMar>
          <w:top w:w="0" w:type="dxa"/>
          <w:left w:w="0" w:type="dxa"/>
          <w:bottom w:w="0" w:type="dxa"/>
          <w:right w:w="0" w:type="dxa"/>
        </w:tblCellMar>
      </w:tblPr>
      <w:tblGrid>
        <w:gridCol w:w="2960"/>
        <w:gridCol w:w="60"/>
        <w:gridCol w:w="283"/>
        <w:gridCol w:w="1132"/>
        <w:gridCol w:w="60"/>
        <w:gridCol w:w="60"/>
        <w:gridCol w:w="391"/>
        <w:gridCol w:w="1564"/>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Convertible Note Conversion Feature Liability as of June 30, 2026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Convertible Notes</w:t>
      </w:r>
    </w:p>
    <w:tbl>
      <w:tblPr>
        <w:tblW w:w="5234" w:type="dxa"/>
        <w:jc w:val="left"/>
        <w:tblInd w:w="0" w:type="dxa"/>
        <w:tblLayout w:type="fixed"/>
        <w:tblCellMar>
          <w:top w:w="0" w:type="dxa"/>
          <w:left w:w="0" w:type="dxa"/>
          <w:bottom w:w="0" w:type="dxa"/>
          <w:right w:w="0" w:type="dxa"/>
        </w:tblCellMar>
      </w:tblPr>
      <w:tblGrid>
        <w:gridCol w:w="3095"/>
        <w:gridCol w:w="60"/>
        <w:gridCol w:w="354"/>
        <w:gridCol w:w="1615"/>
        <w:gridCol w:w="110"/>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Conversion 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center"/>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debt extinguishment</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June 30, 2026</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Securities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outstanding Bitcoin put option contracts with a fair value liability of $0.4 million. During the six months ended June 30, 2026, all outstanding Bitcoin put option contracts were exercised, expired, or otherwise settled, and the Company recognized a realized loss of $0.9 million related to these contracts. As of June 30, 2026, the Company had no outstanding derivative securities liabilities.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(the “Board of Directors”) authorized a share repurchase program providing for the repurchase of up to $100.0 million of the Company’s Common Stock. During the three months and six months ended June 30, 2026, the Company repurchased 2,570,974 and 5,238,030 shares of Common Stock for $4.8 million and $12.8 million respectively, including commissions. During the three months ended June 30, 2026, the Company repurchased shares at an average price of $1.85 per share. As of June 30, 2026, approximately $84.4 million remained available under the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recognized an equity-classified contingent consideration with a fair value of $5.9 million, which was recorded within additional paid-in capital as part of the purchase consideration. The arrangement provides for the issuance of a fixed number of the Company’s common shares upon the achievement of specified market-based conditions. See Note 3,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diluted net loss per share for the three and six months ended June 30, 2026 is as follows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Computation of Basic and Diluted Net Loss per Share</w:t>
      </w:r>
    </w:p>
    <w:tbl>
      <w:tblPr>
        <w:tblW w:w="10205" w:type="dxa"/>
        <w:jc w:val="left"/>
        <w:tblInd w:w="0" w:type="dxa"/>
        <w:tblLayout w:type="fixed"/>
        <w:tblCellMar>
          <w:top w:w="0" w:type="dxa"/>
          <w:left w:w="0" w:type="dxa"/>
          <w:bottom w:w="0" w:type="dxa"/>
          <w:right w:w="0" w:type="dxa"/>
        </w:tblCellMar>
      </w:tblPr>
      <w:tblGrid>
        <w:gridCol w:w="7757"/>
        <w:gridCol w:w="60"/>
        <w:gridCol w:w="256"/>
        <w:gridCol w:w="2020"/>
        <w:gridCol w:w="112"/>
      </w:tblGrid>
      <w:tr>
        <w:trPr/>
        <w:tc>
          <w:tcPr>
            <w:tcW w:w="7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7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12" w:type="dxa"/>
            <w:tcBorders/>
            <w:shd w:fill="FFFFFF" w:val="clear"/>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3"/>
        <w:gridCol w:w="60"/>
        <w:gridCol w:w="238"/>
        <w:gridCol w:w="1872"/>
        <w:gridCol w:w="112"/>
      </w:tblGrid>
      <w:tr>
        <w:trPr/>
        <w:tc>
          <w:tcPr>
            <w:tcW w:w="7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12"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following potentially dilutive securities were excluded from the computation of diluted net loss per share because their inclusion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Computation of Net Loss Per Common Stock</w:t>
      </w:r>
    </w:p>
    <w:tbl>
      <w:tblPr>
        <w:tblW w:w="4959" w:type="dxa"/>
        <w:jc w:val="left"/>
        <w:tblInd w:w="0" w:type="dxa"/>
        <w:tblLayout w:type="fixed"/>
        <w:tblCellMar>
          <w:top w:w="0" w:type="dxa"/>
          <w:left w:w="0" w:type="dxa"/>
          <w:bottom w:w="0" w:type="dxa"/>
          <w:right w:w="0" w:type="dxa"/>
        </w:tblCellMar>
      </w:tblPr>
      <w:tblGrid>
        <w:gridCol w:w="1985"/>
        <w:gridCol w:w="60"/>
        <w:gridCol w:w="146"/>
        <w:gridCol w:w="2693"/>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12,852,500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RSUs (See Note 11)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14,342,256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7,659,240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34,853,996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dilutive net income per common unit for the period from June 10, 2025 (inception) through June 30, 2025 is as follows (In thousands, except for share):</w:t>
      </w:r>
    </w:p>
    <w:p>
      <w:pPr>
        <w:pStyle w:val="TextBody"/>
        <w:bidi w:val="0"/>
        <w:spacing w:before="0" w:after="0"/>
        <w:ind w:left="0" w:right="0" w:hanging="0"/>
        <w:jc w:val="both"/>
        <w:rPr>
          <w:caps w:val="false"/>
          <w:smallCaps w:val="false"/>
        </w:rPr>
      </w:pPr>
      <w:r>
        <w:rPr>
          <w:caps w:val="false"/>
          <w:smallCaps w:val="false"/>
        </w:rPr>
        <w:t> </w:t>
      </w:r>
    </w:p>
    <w:tbl>
      <w:tblPr>
        <w:tblW w:w="9074" w:type="dxa"/>
        <w:jc w:val="left"/>
        <w:tblInd w:w="0" w:type="dxa"/>
        <w:tblLayout w:type="fixed"/>
        <w:tblCellMar>
          <w:top w:w="0" w:type="dxa"/>
          <w:left w:w="0" w:type="dxa"/>
          <w:bottom w:w="0" w:type="dxa"/>
          <w:right w:w="0" w:type="dxa"/>
        </w:tblCellMar>
      </w:tblPr>
      <w:tblGrid>
        <w:gridCol w:w="6995"/>
        <w:gridCol w:w="60"/>
        <w:gridCol w:w="214"/>
        <w:gridCol w:w="1695"/>
        <w:gridCol w:w="110"/>
      </w:tblGrid>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Period</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from June 10,2025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through</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w:t>
            </w:r>
            <w:r>
              <w:rPr>
                <w:rFonts w:ascii="Times New Roman;Times;Serif" w:hAnsi="Times New Roman;Times;Serif"/>
                <w:b/>
                <w:sz w:val="20"/>
              </w:rPr>
              <w:t>5</w:t>
            </w:r>
          </w:p>
        </w:tc>
        <w:tc>
          <w:tcPr>
            <w:tcW w:w="11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Basic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695" w:type="dxa"/>
            <w:tcBorders/>
            <w:shd w:fill="CCEEFF" w:val="clear"/>
            <w:vAlign w:val="center"/>
          </w:tcPr>
          <w:p>
            <w:pPr>
              <w:pStyle w:val="TableContents"/>
              <w:bidi w:val="0"/>
              <w:spacing w:before="0" w:after="283"/>
              <w:jc w:val="right"/>
              <w:rPr/>
            </w:pPr>
            <w:r>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change in fair value of conversion feature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14,288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 Preferred Units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24,595,238</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diluted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Equity Incentive Plan (the “2025 Equity Plan”) is described in Note 13 to the consolidated financial statements included in the Company’s Annual Report on Form 10-K for the year ended December 31, 2025. The Company has elected to account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granted 3,353,832 time-based restricted stock units (“RSUs”) under the 2025 Equity Plan to certain employees and service providers with aggregate grant-date fair value of $7.7 million. The awards generally vest over a service period ranging from 1 to 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solely to time-based vesting conditions, grant-date fair value is determined based on the closing market price of the Company’s common stock on the grant date. During the six months ended June 30, 2026, grant-date stock prices used to value such awards had a weighted average grant date fair value of $2.27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schedule summarizes activity related to time-based RSUs for the six months ended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Time Based RSU</w:t>
      </w:r>
    </w:p>
    <w:tbl>
      <w:tblPr>
        <w:tblW w:w="8403" w:type="dxa"/>
        <w:jc w:val="left"/>
        <w:tblInd w:w="0" w:type="dxa"/>
        <w:tblLayout w:type="fixed"/>
        <w:tblCellMar>
          <w:top w:w="0" w:type="dxa"/>
          <w:left w:w="0" w:type="dxa"/>
          <w:bottom w:w="0" w:type="dxa"/>
          <w:right w:w="0" w:type="dxa"/>
        </w:tblCellMar>
      </w:tblPr>
      <w:tblGrid>
        <w:gridCol w:w="3500"/>
        <w:gridCol w:w="60"/>
        <w:gridCol w:w="122"/>
        <w:gridCol w:w="2162"/>
        <w:gridCol w:w="95"/>
        <w:gridCol w:w="60"/>
        <w:gridCol w:w="562"/>
        <w:gridCol w:w="1767"/>
        <w:gridCol w:w="75"/>
      </w:tblGrid>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time-based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Restricted 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(1,454,365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$2.0 million and $4.2 million, respectively, in share-based compensation expense from time-based RSUs. As of June 30, 2026, unrecognized compensation cost related to unvested time-based RSUs was $3.5 million, which is expected to be recognized over a weighted average remaining period of 1.2 years.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granted Shain Noor the right to receive up to 4,356,450 shares of the Company’s common stock. The award is subject to both continued service and market condition requiring the Company’s common stock to achieve a trading price of $9.00 per share. Because the award is contingent upon future employment and achievement of the market condition, it is accounted for as a share-based payment award under ASC 718 and is excluded from the purchase consideration transferred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had a grant-date fair value of $5.1 million, which was determined using a Monte Carlo valuation model. The valuation incorporated assumptions regarding the Company’s stock price, expected volatility, risk-free interest rate, expected term, and expected dividend yield. Expected volatility was based on the historical volatility of the Company’s common stock, and the risk-free interest rate was based on the U.S. Treasury yield curve in effect on the grant date for a term corresponding to the expected term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key assumptions used in the Monte Carlo valuation of market-based awards granted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Key Assumptions Used in the Valuation of Such Awards Granted</w:t>
      </w:r>
    </w:p>
    <w:tbl>
      <w:tblPr>
        <w:tblW w:w="2810" w:type="dxa"/>
        <w:jc w:val="left"/>
        <w:tblInd w:w="0" w:type="dxa"/>
        <w:tblLayout w:type="fixed"/>
        <w:tblCellMar>
          <w:top w:w="0" w:type="dxa"/>
          <w:left w:w="0" w:type="dxa"/>
          <w:bottom w:w="28" w:type="dxa"/>
          <w:right w:w="0" w:type="dxa"/>
        </w:tblCellMar>
      </w:tblPr>
      <w:tblGrid>
        <w:gridCol w:w="2045"/>
        <w:gridCol w:w="60"/>
        <w:gridCol w:w="125"/>
        <w:gridCol w:w="380"/>
        <w:gridCol w:w="200"/>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Assumption</w:t>
            </w:r>
          </w:p>
        </w:tc>
        <w:tc>
          <w:tcPr>
            <w:tcW w:w="60" w:type="dxa"/>
            <w:tcBorders/>
            <w:tcMar>
              <w:bottom w:w="0" w:type="dxa"/>
            </w:tcMar>
            <w:vAlign w:val="center"/>
          </w:tcPr>
          <w:p>
            <w:pPr>
              <w:pStyle w:val="TableContents"/>
              <w:bidi w:val="0"/>
              <w:spacing w:before="0" w:after="283"/>
              <w:jc w:val="left"/>
              <w:rPr/>
            </w:pPr>
            <w:r>
              <w:rPr/>
              <w:t> </w:t>
            </w:r>
          </w:p>
        </w:tc>
        <w:tc>
          <w:tcPr>
            <w:tcW w:w="505" w:type="dxa"/>
            <w:gridSpan w:val="2"/>
            <w:tcBorders>
              <w:bottom w:val="single" w:sz="8" w:space="0" w:color="000000"/>
            </w:tcBorders>
            <w:vAlign w:val="center"/>
          </w:tcPr>
          <w:p>
            <w:pPr>
              <w:pStyle w:val="TableContents"/>
              <w:bidi w:val="0"/>
              <w:spacing w:before="0" w:after="283"/>
              <w:jc w:val="center"/>
              <w:rPr>
                <w:b/>
                <w:sz w:val="20"/>
              </w:rPr>
            </w:pPr>
            <w:r>
              <w:rPr>
                <w:b/>
                <w:sz w:val="20"/>
              </w:rPr>
              <w:t>Input</w:t>
            </w:r>
          </w:p>
        </w:tc>
        <w:tc>
          <w:tcPr>
            <w:tcW w:w="200"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1.90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70.0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3.94</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5.00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Expected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0.00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related to market-based RSUs for the six months ended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Market-based RSU</w:t>
      </w:r>
    </w:p>
    <w:tbl>
      <w:tblPr>
        <w:tblW w:w="8668" w:type="dxa"/>
        <w:jc w:val="left"/>
        <w:tblInd w:w="0" w:type="dxa"/>
        <w:tblLayout w:type="fixed"/>
        <w:tblCellMar>
          <w:top w:w="0" w:type="dxa"/>
          <w:left w:w="0" w:type="dxa"/>
          <w:bottom w:w="0" w:type="dxa"/>
          <w:right w:w="0" w:type="dxa"/>
        </w:tblCellMar>
      </w:tblPr>
      <w:tblGrid>
        <w:gridCol w:w="3500"/>
        <w:gridCol w:w="60"/>
        <w:gridCol w:w="133"/>
        <w:gridCol w:w="2451"/>
        <w:gridCol w:w="60"/>
        <w:gridCol w:w="60"/>
        <w:gridCol w:w="562"/>
        <w:gridCol w:w="176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market-based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4,356,450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market condition associated with the award had not been satisfied and, accordingly, no shares subject to the award had vested.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$1.7 million and $3.1 million, respectively, in share-based compensation expense from market-based RSUs. As of June 30, 2026, unrecognized compensation cost related to unvested market-based RSUs was $18.1 million. The remaining compensation cost is expected to be recognized over the weighted average remaining period of 3.0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six months ended June 30, 2026 and for the period from June 10, 2025 through June 30, 2025 was approximately 1.43% and (0)%, respectively. During the second quarter ended June 30, 2026, the Company recognized a discrete income tax benefit of approximately $2.5 million related to the partial release of its valuation allowance on deferred tax assets. The valuation allowance release was supported by additional objectively verifiable positive evidence resulting from the scheduled reversal of acquisition-related taxable temporary differences generated by the CFO Silvia Acquisition completed during the second quarter of 2026. The discrete income tax benefit was the primary driver of the Company’s effective tax rates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realizability of deferred tax assets on a quarterly basis and records a valuation allowance when it is more-likely-than-not that some portion or all of its deferred tax assets will not be realized. As of June 30, 2026, the Company continued to maintain a valuation allowance against deferred tax assets that management has concluded are not more-likely-than-not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no unrecognized tax benefits and had not accrued any interest or penalties related to uncertain tax positions.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and Inflection Points, an entity under common control,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(4) years and will automatically renew for a subsequent one (1) year term, unless either party gives the other party at least sixty (60) days’ prior written notice of non-renewal or otherwise terminates the Services Agreement or any statement of work as set forth therein. In consideration, Inflection Points received an aggregate of 10,000,000 shares of the Company’s stock on December 5, 2025. As of June 30, 2026, these shares have been issued and are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and Seller Earnout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Sponsor Earnout Agreement and Seller Earnout Agreement (the “Agreements”) entered into on December 3, 2025, 8,333,333 shares and 9,500,000 shares of the Company’s Common Stock, respectively, remain subject to vesting and transfer restrictions. The terms of the Agreements are described in Note 14 to the consolidated financial statements included in the Company’s Annual Report on Form 10-K for the year ended December 31, 2025. As of June 30, 2026, no vesting events had occurred under either arrangement and the related shares remained subject to the applicable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has been identified as the chief operating decision maker (“CODM”). The CODM reviews financial information on a consolidated basis for purposes of assessing performance, allocating resources, and making operating decisions. Accordingly, management has determined that the Company operates as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primarily evaluates performance using consolidated net loss, cash flows, and liquidity measures. The CODM also reviews significant segment expenses that are regularly provided to the CODM, as presented in the table below to manage liquidity and assess progress against the Company’s operating plan. Total segment assets are consistent with total assets reported in the unaudited condensed consolidated balance sheets. The CODM also monitors the fair market value of the Company’s Bitcoin holdings in evaluating capital allocation and treasury management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is focused on executing its growth strategy and is not currently generating significant revenue, resource allocation decisions are primarily based on liquidity management, operating expenditure, and capital allocation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significant segment expenses (in thousands):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Significant Segment Expenses</w:t>
      </w:r>
    </w:p>
    <w:tbl>
      <w:tblPr>
        <w:tblW w:w="10205" w:type="dxa"/>
        <w:jc w:val="left"/>
        <w:tblInd w:w="0" w:type="dxa"/>
        <w:tblLayout w:type="fixed"/>
        <w:tblCellMar>
          <w:top w:w="0" w:type="dxa"/>
          <w:left w:w="0" w:type="dxa"/>
          <w:bottom w:w="0" w:type="dxa"/>
          <w:right w:w="0" w:type="dxa"/>
        </w:tblCellMar>
      </w:tblPr>
      <w:tblGrid>
        <w:gridCol w:w="3382"/>
        <w:gridCol w:w="60"/>
        <w:gridCol w:w="257"/>
        <w:gridCol w:w="1392"/>
        <w:gridCol w:w="95"/>
        <w:gridCol w:w="60"/>
        <w:gridCol w:w="230"/>
        <w:gridCol w:w="1246"/>
        <w:gridCol w:w="95"/>
        <w:gridCol w:w="60"/>
        <w:gridCol w:w="614"/>
        <w:gridCol w:w="2600"/>
        <w:gridCol w:w="114"/>
      </w:tblGrid>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 June 10, 2025 (Inception) through</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392"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b/>
              </w:rPr>
            </w:pPr>
            <w:r>
              <w:rPr>
                <w:b/>
              </w:rPr>
              <w:t>$</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Payroll expenses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One-time bonus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Other operating expenses(1)</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6,624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(14,990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conversion feature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(65,047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(172,806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4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other operating expenses such as professional fees, insurance, rent, and utility expenses.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month-to-month operating lease arrangement. The Company has elected the short-term lease practical expedient under ASC 842 for this lease and therefore does not recognize a right-of-use asset or lease liability on the unaudited condensed consolidated balance sheet for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month-to-month lease is recognized on a straight-line basis and was $20 per month for the period from January 2026 through June 2026. Because the lease is cancellable at any time with no significant penalty, the Company is not committed to future minimum lease payments beyond the monthly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Studio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operating lease agreement for studio space. The lease has an initial term of 45 months, commencing February 1, 2026 and expiring October 31, 2029. The lease requires monthly base rent payments of $27 with a three-month rent abatement of $82. The Company does not have an option to extend the lease term or to purchase the leased property. The lease contains fees for cleaning services, utilities, building amenities, and other operating items that are non-lease components. These variable lease payments are recognized in the period incurred rather than included in the lease liability, with the Company recording an operating expense when such amounts arise. The Company has recognized a right-of-use asset and lease liability on the unaudited condensed consolidated balance sheet for this arrangement.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 for the three months and six months ended June 30, 2026 and 2025 were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Lease Cost </w:t>
      </w:r>
    </w:p>
    <w:tbl>
      <w:tblPr>
        <w:tblW w:w="6373" w:type="dxa"/>
        <w:jc w:val="left"/>
        <w:tblInd w:w="0" w:type="dxa"/>
        <w:tblLayout w:type="fixed"/>
        <w:tblCellMar>
          <w:top w:w="0" w:type="dxa"/>
          <w:left w:w="0" w:type="dxa"/>
          <w:bottom w:w="0" w:type="dxa"/>
          <w:right w:w="0" w:type="dxa"/>
        </w:tblCellMar>
      </w:tblPr>
      <w:tblGrid>
        <w:gridCol w:w="2000"/>
        <w:gridCol w:w="60"/>
        <w:gridCol w:w="593"/>
        <w:gridCol w:w="1616"/>
        <w:gridCol w:w="60"/>
        <w:gridCol w:w="60"/>
        <w:gridCol w:w="260"/>
        <w:gridCol w:w="1649"/>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7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Lease Cost</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lease cost</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and short-term lease cost are recognized on a straight-line basis over the lease term and are included in general and administrative expenses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the Company’s operating lease as of June 30, 2026,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Cash Flows Information Related to Operating Lease</w:t>
      </w:r>
    </w:p>
    <w:tbl>
      <w:tblPr>
        <w:tblW w:w="5545" w:type="dxa"/>
        <w:jc w:val="left"/>
        <w:tblInd w:w="0" w:type="dxa"/>
        <w:tblLayout w:type="fixed"/>
        <w:tblCellMar>
          <w:top w:w="0" w:type="dxa"/>
          <w:left w:w="0" w:type="dxa"/>
          <w:bottom w:w="0" w:type="dxa"/>
          <w:right w:w="0" w:type="dxa"/>
        </w:tblCellMar>
      </w:tblPr>
      <w:tblGrid>
        <w:gridCol w:w="4220"/>
        <w:gridCol w:w="60"/>
        <w:gridCol w:w="238"/>
        <w:gridCol w:w="952"/>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non-current portion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lease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Maturities of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 operating lease as of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Minimum Lease Payments Under the Operating Lease </w:t>
      </w:r>
    </w:p>
    <w:tbl>
      <w:tblPr>
        <w:tblW w:w="5550" w:type="dxa"/>
        <w:jc w:val="left"/>
        <w:tblInd w:w="0" w:type="dxa"/>
        <w:tblLayout w:type="fixed"/>
        <w:tblCellMar>
          <w:top w:w="0" w:type="dxa"/>
          <w:left w:w="0" w:type="dxa"/>
          <w:bottom w:w="0" w:type="dxa"/>
          <w:right w:w="0" w:type="dxa"/>
        </w:tblCellMar>
      </w:tblPr>
      <w:tblGrid>
        <w:gridCol w:w="3590"/>
        <w:gridCol w:w="60"/>
        <w:gridCol w:w="358"/>
        <w:gridCol w:w="1432"/>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 Leases</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present value discount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liability</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Cash Flow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and other information related to the Company’s operating lease for the six months ended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Cash Flow Information Related to Operating Lease </w:t>
      </w:r>
    </w:p>
    <w:tbl>
      <w:tblPr>
        <w:tblW w:w="7980" w:type="dxa"/>
        <w:jc w:val="left"/>
        <w:tblInd w:w="0" w:type="dxa"/>
        <w:tblLayout w:type="fixed"/>
        <w:tblCellMar>
          <w:top w:w="0" w:type="dxa"/>
          <w:left w:w="0" w:type="dxa"/>
          <w:bottom w:w="0" w:type="dxa"/>
          <w:right w:w="0" w:type="dxa"/>
        </w:tblCellMar>
      </w:tblPr>
      <w:tblGrid>
        <w:gridCol w:w="6830"/>
        <w:gridCol w:w="60"/>
        <w:gridCol w:w="172"/>
        <w:gridCol w:w="688"/>
        <w:gridCol w:w="23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23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23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paid for amounts included in the measurement of lease liability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3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Right-of-use asset obtained in exchange for new operating lease liability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w:t>
            </w:r>
          </w:p>
        </w:tc>
        <w:tc>
          <w:tcPr>
            <w:tcW w:w="23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lease term (in years)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3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rate (as a percentage)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Related Party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CFO Silvia Acquisition, Inflection Points Inc., an entity controlled by Anthony Pompliano, the Company’s CEO, was the majority owner of CFO Silvia. Accordingly, Inflection Points Inc. was also a selling shareholder in the CFO Silvia Acquisition and received $14.0 million of the total acquisition consideration, consisting of $8.1 million of closing equity consideration and $5.9 million of contingent earnout consideration. The contingent earnout shares underlying the contingent consideration are issuable upon the achievement of specified market-based conditions, including the Company’s common stock reaching trading price at or above $9.00 per share.</w:t>
      </w:r>
    </w:p>
    <w:p>
      <w:pPr>
        <w:pStyle w:val="TextBody"/>
        <w:bidi w:val="0"/>
        <w:spacing w:before="0" w:after="283"/>
        <w:jc w:val="left"/>
        <w:rPr/>
      </w:pPr>
      <w:r>
        <w:rPr/>
        <w:t> </w:t>
      </w:r>
    </w:p>
    <w:p>
      <w:pPr>
        <w:pStyle w:val="TextBody"/>
        <w:bidi w:val="0"/>
        <w:jc w:val="both"/>
        <w:rPr/>
      </w:pPr>
      <w:r>
        <w:rPr/>
        <w:t>In addition, CFO Silvia was party to two promissory notes payable to Inflection Points Inc., an entity controlled by the Company’s Chief Executive Officer. The outstanding principal balance of the notes were $2.4 million as of the Acquisition Date. In connection with the CFO Silvia Acquisition, cash consideration of $1.4 million was used to repay one of the notes, and the remaining $1.0 million note was assumed by the Company and repaid following the acquisition. No amounts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Subsequent Events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the date the unaudited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Independent Director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and member of the audit committee of the Board of Directors. As a result of this appointment, the Company regained compliance with Nasdaq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Exchange-Traded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a Delaware statutory trust that is not affiliated with the Company, filed a registration statement on Form N-1A with the SEC with respect to five proposed actively managed exchange-traded funds. ProCap Investment Advisers, LLC, a wholly-owned subsidiary of the Company, is proposed to serve as investment sub-adviser to each fund. The registration statement is subject to SEC review and may be amended, delayed or withdrawn, and no fund may commence operations until its registration statement has become effective, its shares have been approved for listing on a national securities exchange and applicable distribution and operational arrangements are in place. As of the date these unaudited condensed consolidated financial statements were issued, no sub-advisory fees had been earned and no seed capital had been committed or funded by the Company or its subsidiaries. Costs incurred in connection with the proposed funds through the date of issuance were not material.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125848</Words>
  <Characters>696739</Characters>
  <CharactersWithSpaces>825540</CharactersWithSpaces>
  <Paragraphs>13527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