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firstLine="720"/>
        <w:jc w:val="right"/>
        <w:rPr>
          <w:caps w:val="false"/>
          <w:smallCaps w:val="false"/>
        </w:rPr>
      </w:pPr>
      <w:bookmarkStart w:id="0" w:name="form424b3.htm"/>
      <w:bookmarkStart w:id="1" w:name="ksform424b3"/>
      <w:bookmarkEnd w:id="0"/>
      <w:bookmarkEnd w:id="1"/>
      <w:r>
        <w:rPr>
          <w:caps w:val="false"/>
          <w:smallCaps w:val="false"/>
        </w:rPr>
        <w:t> </w:t>
      </w:r>
    </w:p>
    <w:p>
      <w:pPr>
        <w:pStyle w:val="TextBody"/>
        <w:bidi w:val="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333-292590 </w:t>
      </w:r>
    </w:p>
    <w:p>
      <w:pPr>
        <w:pStyle w:val="TextBody"/>
        <w:bidi w:val="0"/>
        <w:ind w:left="0" w:right="0" w:firstLine="720"/>
        <w:jc w:val="righ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DATED August 18, 2026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JANUARY 20,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20,100,833 Shares of Common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18,071,500 Shares of Common Stock Issuable Upon Conversion of the Convertible Notes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12,852,500 Shares of Common Stock Issuable Upon Exercise of the Warrants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contained in the prospectus dated January 20, 2026 (as may be supplemented or amended from time to time,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which forms part of our registration statement on Form S-1 (File No. 333-292590) with the information contained in our Annual Report on Form 10-Q that was filed with the Securities and Exchange Commission on May 14, 2026 (the “</w:t>
      </w:r>
      <w:r>
        <w:rPr>
          <w:rFonts w:ascii="Times New Roman;Times;Serif" w:hAnsi="Times New Roman;Times;Serif"/>
          <w:b w:val="false"/>
          <w:i w:val="false"/>
          <w:caps w:val="false"/>
          <w:smallCaps w:val="false"/>
          <w:sz w:val="20"/>
          <w:u w:val="single"/>
        </w:rPr>
        <w:t>Annual Report</w:t>
      </w:r>
      <w:r>
        <w:rPr>
          <w:rFonts w:ascii="Times New Roman;Times;Serif" w:hAnsi="Times New Roman;Times;Serif"/>
          <w:b w:val="false"/>
          <w:i w:val="false"/>
          <w:caps w:val="false"/>
          <w:smallCaps w:val="false"/>
          <w:sz w:val="20"/>
        </w:rPr>
        <w:t>”). Accordingly, we have attached the Annual Report to this prospectus supplement.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relates to 51,024,833 shares of our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which consists of (i) the resale of up to 20,100,833 shares of our Common Stock by certain of the selling securityholders named in this prospectus (each a “</w:t>
      </w:r>
      <w:r>
        <w:rPr>
          <w:rFonts w:ascii="Times New Roman;Times;Serif" w:hAnsi="Times New Roman;Times;Serif"/>
          <w:b w:val="false"/>
          <w:i w:val="false"/>
          <w:caps w:val="false"/>
          <w:smallCaps w:val="false"/>
          <w:sz w:val="20"/>
          <w:u w:val="single"/>
        </w:rPr>
        <w:t>Selling Securityholder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Selling Securityholders</w:t>
      </w:r>
      <w:r>
        <w:rPr>
          <w:rFonts w:ascii="Times New Roman;Times;Serif" w:hAnsi="Times New Roman;Times;Serif"/>
          <w:b w:val="false"/>
          <w:i w:val="false"/>
          <w:caps w:val="false"/>
          <w:smallCaps w:val="false"/>
          <w:sz w:val="20"/>
        </w:rPr>
        <w:t>”), (ii) the resale of up to 18,071,500 shares of Common Stock issuable upon conversion of the Convertible Notes (as defined below) by the Selling Securityholders, and (iii) the issuance by the Company of up to 12,852,500 shares of Common Stock that are issuable upon the exercise of 12,852,500 warrants, including 12,500,000 public warrants (the “</w:t>
      </w:r>
      <w:r>
        <w:rPr>
          <w:rFonts w:ascii="Times New Roman;Times;Serif" w:hAnsi="Times New Roman;Times;Serif"/>
          <w:b w:val="false"/>
          <w:i w:val="false"/>
          <w:caps w:val="false"/>
          <w:smallCaps w:val="false"/>
          <w:sz w:val="20"/>
          <w:u w:val="single"/>
        </w:rPr>
        <w:t>Public Warrants</w:t>
      </w:r>
      <w:r>
        <w:rPr>
          <w:rFonts w:ascii="Times New Roman;Times;Serif" w:hAnsi="Times New Roman;Times;Serif"/>
          <w:b w:val="false"/>
          <w:i w:val="false"/>
          <w:caps w:val="false"/>
          <w:smallCaps w:val="false"/>
          <w:sz w:val="20"/>
        </w:rPr>
        <w:t>”) and 352,500 private warrants (the “</w:t>
      </w:r>
      <w:r>
        <w:rPr>
          <w:rFonts w:ascii="Times New Roman;Times;Serif" w:hAnsi="Times New Roman;Times;Serif"/>
          <w:b w:val="false"/>
          <w:i w:val="false"/>
          <w:caps w:val="false"/>
          <w:smallCaps w:val="false"/>
          <w:sz w:val="20"/>
          <w:u w:val="single"/>
        </w:rPr>
        <w:t>Private Warrants</w:t>
      </w:r>
      <w:r>
        <w:rPr>
          <w:rFonts w:ascii="Times New Roman;Times;Serif" w:hAnsi="Times New Roman;Times;Serif"/>
          <w:b w:val="false"/>
          <w:i w:val="false"/>
          <w:caps w:val="false"/>
          <w:smallCaps w:val="false"/>
          <w:sz w:val="20"/>
        </w:rPr>
        <w:t>” and together with the Public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in conjunction with the Prospectus. This prospectus supplement is qualified by reference to the Prospectus except to the extent that the information in this prospectus supplement supersedes the information contained in the Prospectus. This prospectus supplement is not complete without, and may not be delivered or utilized except in connection with, the Prospectus.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“BRR” and our Warrants are listed on the Nasdaq Capital Market under the symbol “BRRWW.” On March 3, 2026, the closing price of our Common Stock was $2.95 and the closing price for our Warrants was $0.4631.</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6 of the Prospectus, and under similar headings in any amendments or supplements to the Prospectus.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Any representation to the contrary is a criminal offense.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18, 2026.</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001-42995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PROCAP FINANCIAL,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39-2767031</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 Lexington Avenue, Floor 2</w:t>
              <w:br/>
              <w:t>New York, New York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10022</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 938-0912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03"/>
        <w:gridCol w:w="60"/>
        <w:gridCol w:w="1261"/>
        <w:gridCol w:w="60"/>
        <w:gridCol w:w="2521"/>
      </w:tblGrid>
      <w:tr>
        <w:trPr/>
        <w:tc>
          <w:tcPr>
            <w:tcW w:w="63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0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r>
        <w:trPr/>
        <w:tc>
          <w:tcPr>
            <w:tcW w:w="630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whole warrant exercisable for one share of Common Stock at an exercise price of $11.50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BRRWW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2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11, 2026, there were 88,369,575 shares of common stock, par value $0.001 per share, of the registrant issued and outstanding.</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30"/>
        <w:gridCol w:w="575"/>
      </w:tblGrid>
      <w:tr>
        <w:trPr/>
        <w:tc>
          <w:tcPr>
            <w:tcW w:w="963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3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30"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PART I. FINANCIAL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30" w:type="dxa"/>
            <w:tcBorders/>
            <w:shd w:fill="FFFF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Item 1. Financial Statements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30"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Balance Sheets as of June 30, 2026 (unaudited) and December 31, 2025</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30" w:type="dxa"/>
            <w:tcBorders/>
            <w:shd w:fill="FFFF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for the Period from June 10, 2025 (Inception) through June 30, 2025 (unaudited)</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630"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Condensed Consolidated Statements of Changes in Stockholders’ Equity for the Three and Six Months Ended June 30, 2026 and for the Period from June 10, 2025 (Inception) through June 30, 2025 (unaudited)</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630" w:type="dxa"/>
            <w:tcBorders/>
            <w:shd w:fill="FFFF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Consolidated Statements of Cash Flows for the Six Months Ended June 30, 2026 and for the Period from June 10, 2025 (Inception) through June 30, 2025 (unaudited)</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630"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630" w:type="dxa"/>
            <w:tcBorders/>
            <w:shd w:fill="FFFF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630"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630" w:type="dxa"/>
            <w:tcBorders/>
            <w:shd w:fill="FFFF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Item 4. Controls and Procedures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630"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PART II. OTHER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30" w:type="dxa"/>
            <w:tcBorders/>
            <w:shd w:fill="FFFF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Item 1. Legal Proceedings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30"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Item 1.A Risk Factors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30" w:type="dxa"/>
            <w:tcBorders/>
            <w:shd w:fill="FFFF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30"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Item 3. Defaults Upon Senior Securities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30" w:type="dxa"/>
            <w:tcBorders/>
            <w:shd w:fill="FFFF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Item 4. Mine Safety Disclosure</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30"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Item 5. Other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30" w:type="dxa"/>
            <w:tcBorders/>
            <w:shd w:fill="FFFFFF" w:val="clear"/>
            <w:vAlign w:val="center"/>
          </w:tcPr>
          <w:p>
            <w:pPr>
              <w:pStyle w:val="TableContents"/>
              <w:bidi w:val="0"/>
              <w:spacing w:before="0" w:after="283"/>
              <w:jc w:val="both"/>
              <w:rPr/>
            </w:pPr>
            <w:hyperlink w:anchor="exi_001">
              <w:r>
                <w:rPr>
                  <w:rStyle w:val="InternetLink"/>
                  <w:rFonts w:ascii="Times New Roman;Times;Serif" w:hAnsi="Times New Roman;Times;Serif"/>
                  <w:b w:val="false"/>
                  <w:i w:val="false"/>
                  <w:caps w:val="false"/>
                  <w:smallCaps w:val="false"/>
                  <w:sz w:val="20"/>
                </w:rPr>
                <w:t>Item 6. Exhibits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630"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SIGNATURES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57"/>
        <w:gridCol w:w="60"/>
        <w:gridCol w:w="166"/>
        <w:gridCol w:w="1044"/>
        <w:gridCol w:w="95"/>
        <w:gridCol w:w="60"/>
        <w:gridCol w:w="194"/>
        <w:gridCol w:w="1116"/>
        <w:gridCol w:w="113"/>
      </w:tblGrid>
      <w:tr>
        <w:trPr/>
        <w:tc>
          <w:tcPr>
            <w:tcW w:w="73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June 30,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3" w:type="dxa"/>
            <w:tcBorders/>
            <w:vAlign w:val="center"/>
          </w:tcPr>
          <w:p>
            <w:pPr>
              <w:pStyle w:val="TableContents"/>
              <w:bidi w:val="0"/>
              <w:spacing w:before="0" w:after="283"/>
              <w:jc w:val="center"/>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44,976</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149,885</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2,166</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197,027</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12,671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358,452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638,886</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1,831</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pPr>
            <w:r>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92,256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securities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2,260</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214,172</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non-current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 term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216,450</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218,710</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50,000,000 authorized shares; no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$0.001 par value; 550,000,000 authorized shares; 94,651,912 shares issued and 88,574,486 shares outstanding as of June 30, 2026, 85,166,604 shares issued and 84,327,208 shares outstanding as of December 31, 2025</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stock, at cost; 6,077,426 shares and 839,396 shares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(2,847</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451,914</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(201,782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(28,976</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262,794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420,176</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358,452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638,886</w:t>
            </w:r>
          </w:p>
        </w:tc>
        <w:tc>
          <w:tcPr>
            <w:tcW w:w="113" w:type="dxa"/>
            <w:tcBorders/>
            <w:shd w:fill="CCEEFF" w:val="clear"/>
            <w:vAlign w:val="center"/>
          </w:tcPr>
          <w:p>
            <w:pPr>
              <w:pStyle w:val="TableContents"/>
              <w:bidi w:val="0"/>
              <w:spacing w:before="0" w:after="283"/>
              <w:jc w:val="both"/>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 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51"/>
        <w:gridCol w:w="60"/>
        <w:gridCol w:w="185"/>
        <w:gridCol w:w="1455"/>
        <w:gridCol w:w="155"/>
        <w:gridCol w:w="60"/>
        <w:gridCol w:w="171"/>
        <w:gridCol w:w="1345"/>
        <w:gridCol w:w="155"/>
        <w:gridCol w:w="60"/>
        <w:gridCol w:w="304"/>
        <w:gridCol w:w="2391"/>
        <w:gridCol w:w="113"/>
      </w:tblGrid>
      <w:tr>
        <w:trPr/>
        <w:tc>
          <w:tcPr>
            <w:tcW w:w="37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Period from June 10, 2025 (Inception) through</w:t>
            </w:r>
          </w:p>
        </w:tc>
        <w:tc>
          <w:tcPr>
            <w:tcW w:w="113" w:type="dxa"/>
            <w:tcBorders/>
            <w:vAlign w:val="center"/>
          </w:tcPr>
          <w:p>
            <w:pPr>
              <w:pStyle w:val="TableContents"/>
              <w:bidi w:val="0"/>
              <w:spacing w:before="0" w:after="283"/>
              <w:jc w:val="center"/>
              <w:rPr/>
            </w:pPr>
            <w:r>
              <w:rPr/>
              <w:t> </w:t>
            </w:r>
          </w:p>
        </w:tc>
      </w:tr>
      <w:tr>
        <w:trPr/>
        <w:tc>
          <w:tcPr>
            <w:tcW w:w="37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3" w:type="dxa"/>
            <w:tcBorders/>
            <w:vAlign w:val="center"/>
          </w:tcPr>
          <w:p>
            <w:pPr>
              <w:pStyle w:val="TableContents"/>
              <w:bidi w:val="0"/>
              <w:spacing w:before="0" w:after="283"/>
              <w:jc w:val="center"/>
              <w:rPr/>
            </w:pPr>
            <w:r>
              <w:rPr/>
              <w:t> </w:t>
            </w:r>
          </w:p>
        </w:tc>
      </w:tr>
      <w:tr>
        <w:trPr/>
        <w:tc>
          <w:tcPr>
            <w:tcW w:w="3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6"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15,556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22,819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(14,990</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(22,781</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(49,362</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(154,829</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14,296</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dividend income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10,330</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(expenses) income, net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(52,561</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(152,529</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24,626</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Income Before Taxes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(67,551</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(175,310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benefit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Income</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(65,047</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(172,806</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basic</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89,394,753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86,164,488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3,809,524</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per common stock, basic</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(0.73</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diluted</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89,394,753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86,164,488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28,404,762</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per common stock, diluted</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(0.73</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shd w:fill="FFFFFF" w:val="clear"/>
            <w:vAlign w:val="center"/>
          </w:tcPr>
          <w:p>
            <w:pPr>
              <w:pStyle w:val="TableContents"/>
              <w:bidi w:val="0"/>
              <w:spacing w:before="0" w:after="283"/>
              <w:jc w:val="right"/>
              <w:rPr/>
            </w:pPr>
            <w:r>
              <w:rPr/>
              <w:t>0.50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2136" w:type="dxa"/>
        <w:jc w:val="left"/>
        <w:tblInd w:w="0" w:type="dxa"/>
        <w:tblLayout w:type="fixed"/>
        <w:tblCellMar>
          <w:top w:w="0" w:type="dxa"/>
          <w:left w:w="0" w:type="dxa"/>
          <w:bottom w:w="0" w:type="dxa"/>
          <w:right w:w="0" w:type="dxa"/>
        </w:tblCellMar>
      </w:tblPr>
      <w:tblGrid>
        <w:gridCol w:w="1340"/>
        <w:gridCol w:w="60"/>
        <w:gridCol w:w="273"/>
        <w:gridCol w:w="437"/>
        <w:gridCol w:w="118"/>
        <w:gridCol w:w="118"/>
        <w:gridCol w:w="509"/>
        <w:gridCol w:w="351"/>
        <w:gridCol w:w="60"/>
        <w:gridCol w:w="60"/>
        <w:gridCol w:w="60"/>
        <w:gridCol w:w="1100"/>
        <w:gridCol w:w="60"/>
        <w:gridCol w:w="60"/>
        <w:gridCol w:w="301"/>
        <w:gridCol w:w="559"/>
        <w:gridCol w:w="60"/>
        <w:gridCol w:w="60"/>
        <w:gridCol w:w="60"/>
        <w:gridCol w:w="1055"/>
        <w:gridCol w:w="95"/>
        <w:gridCol w:w="60"/>
        <w:gridCol w:w="140"/>
        <w:gridCol w:w="755"/>
        <w:gridCol w:w="95"/>
        <w:gridCol w:w="60"/>
        <w:gridCol w:w="163"/>
        <w:gridCol w:w="937"/>
        <w:gridCol w:w="95"/>
        <w:gridCol w:w="60"/>
        <w:gridCol w:w="188"/>
        <w:gridCol w:w="1182"/>
        <w:gridCol w:w="95"/>
        <w:gridCol w:w="60"/>
        <w:gridCol w:w="199"/>
        <w:gridCol w:w="1141"/>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Balance as of March 31, 2026</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85,563,025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(3,506,452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(10,845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454,443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(136,735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306,948</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3,723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upon settlement of RSU</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671,936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Purchase of treasury stock</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(2,570,974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(4,755</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Shares issued on acquisition of Silvia</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8,416,951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21,925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(65,047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(65,047</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35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94,651,912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(6,077,426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(15,600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480,082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(201,782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262,794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2136" w:type="dxa"/>
        <w:jc w:val="left"/>
        <w:tblInd w:w="0" w:type="dxa"/>
        <w:tblLayout w:type="fixed"/>
        <w:tblCellMar>
          <w:top w:w="0" w:type="dxa"/>
          <w:left w:w="0" w:type="dxa"/>
          <w:bottom w:w="0" w:type="dxa"/>
          <w:right w:w="0" w:type="dxa"/>
        </w:tblCellMar>
      </w:tblPr>
      <w:tblGrid>
        <w:gridCol w:w="1340"/>
        <w:gridCol w:w="60"/>
        <w:gridCol w:w="273"/>
        <w:gridCol w:w="437"/>
        <w:gridCol w:w="118"/>
        <w:gridCol w:w="118"/>
        <w:gridCol w:w="509"/>
        <w:gridCol w:w="351"/>
        <w:gridCol w:w="60"/>
        <w:gridCol w:w="60"/>
        <w:gridCol w:w="60"/>
        <w:gridCol w:w="1100"/>
        <w:gridCol w:w="60"/>
        <w:gridCol w:w="60"/>
        <w:gridCol w:w="301"/>
        <w:gridCol w:w="559"/>
        <w:gridCol w:w="60"/>
        <w:gridCol w:w="60"/>
        <w:gridCol w:w="60"/>
        <w:gridCol w:w="1055"/>
        <w:gridCol w:w="95"/>
        <w:gridCol w:w="60"/>
        <w:gridCol w:w="140"/>
        <w:gridCol w:w="755"/>
        <w:gridCol w:w="95"/>
        <w:gridCol w:w="60"/>
        <w:gridCol w:w="76"/>
        <w:gridCol w:w="1024"/>
        <w:gridCol w:w="95"/>
        <w:gridCol w:w="60"/>
        <w:gridCol w:w="188"/>
        <w:gridCol w:w="1182"/>
        <w:gridCol w:w="95"/>
        <w:gridCol w:w="60"/>
        <w:gridCol w:w="184"/>
        <w:gridCol w:w="1156"/>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 Paid 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85,166,604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(839,396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451,914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(28,976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420,176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7,263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upon settlement of RSU, net of tax</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1,068,357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(1,011</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Purchase of treasury stock</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(5,238,030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(12,753</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Shares issued on acquisition of Silvia</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8,416,951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21,917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21,925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(172,806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(172,806</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35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94,651,912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(6,077,426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(15,600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480,082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(201,782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262,794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10, 2025 (inception) to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8"/>
        <w:gridCol w:w="60"/>
        <w:gridCol w:w="60"/>
        <w:gridCol w:w="1100"/>
        <w:gridCol w:w="60"/>
        <w:gridCol w:w="60"/>
        <w:gridCol w:w="140"/>
        <w:gridCol w:w="800"/>
        <w:gridCol w:w="60"/>
        <w:gridCol w:w="60"/>
        <w:gridCol w:w="60"/>
        <w:gridCol w:w="1100"/>
        <w:gridCol w:w="60"/>
        <w:gridCol w:w="60"/>
        <w:gridCol w:w="512"/>
        <w:gridCol w:w="348"/>
        <w:gridCol w:w="60"/>
        <w:gridCol w:w="60"/>
        <w:gridCol w:w="274"/>
        <w:gridCol w:w="436"/>
        <w:gridCol w:w="113"/>
        <w:gridCol w:w="113"/>
        <w:gridCol w:w="507"/>
        <w:gridCol w:w="353"/>
        <w:gridCol w:w="60"/>
        <w:gridCol w:w="60"/>
        <w:gridCol w:w="161"/>
        <w:gridCol w:w="789"/>
        <w:gridCol w:w="60"/>
        <w:gridCol w:w="60"/>
        <w:gridCol w:w="199"/>
        <w:gridCol w:w="1144"/>
        <w:gridCol w:w="78"/>
      </w:tblGrid>
      <w:tr>
        <w:trPr/>
        <w:tc>
          <w:tcPr>
            <w:tcW w:w="1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b/>
              </w:rPr>
            </w:pPr>
            <w:r>
              <w:rPr>
                <w:b/>
              </w:rPr>
              <w:t>Retained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3" w:type="dxa"/>
            <w:gridSpan w:val="2"/>
            <w:tcBorders/>
            <w:vAlign w:val="center"/>
          </w:tcPr>
          <w:p>
            <w:pPr>
              <w:pStyle w:val="TableContents"/>
              <w:bidi w:val="0"/>
              <w:spacing w:before="0" w:after="283"/>
              <w:jc w:val="center"/>
              <w:rPr>
                <w:b/>
              </w:rPr>
            </w:pPr>
            <w:r>
              <w:rPr>
                <w:b/>
              </w:rPr>
              <w:t>Total Stockholders’</w:t>
            </w:r>
          </w:p>
        </w:tc>
        <w:tc>
          <w:tcPr>
            <w:tcW w:w="78" w:type="dxa"/>
            <w:tcBorders/>
            <w:vAlign w:val="center"/>
          </w:tcPr>
          <w:p>
            <w:pPr>
              <w:pStyle w:val="TableContents"/>
              <w:bidi w:val="0"/>
              <w:spacing w:before="0" w:after="283"/>
              <w:jc w:val="center"/>
              <w:rPr/>
            </w:pPr>
            <w:r>
              <w:rPr/>
              <w:t> </w:t>
            </w:r>
          </w:p>
        </w:tc>
      </w:tr>
      <w:tr>
        <w:trPr/>
        <w:tc>
          <w:tcPr>
            <w:tcW w:w="1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78"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1138" w:type="dxa"/>
            <w:tcBorders/>
            <w:shd w:fill="CCEEFF" w:val="clear"/>
            <w:vAlign w:val="center"/>
          </w:tcPr>
          <w:p>
            <w:pPr>
              <w:pStyle w:val="TableContents"/>
              <w:bidi w:val="0"/>
              <w:spacing w:before="0" w:after="283"/>
              <w:jc w:val="left"/>
              <w:rPr/>
            </w:pPr>
            <w:r>
              <w:rPr/>
              <w:t>Balance, June 10, 2025 (inception)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1138" w:type="dxa"/>
            <w:tcBorders/>
            <w:shd w:fill="FFFFFF" w:val="clear"/>
            <w:vAlign w:val="center"/>
          </w:tcPr>
          <w:p>
            <w:pPr>
              <w:pStyle w:val="TableContents"/>
              <w:bidi w:val="0"/>
              <w:spacing w:before="0" w:after="283"/>
              <w:jc w:val="left"/>
              <w:rPr/>
            </w:pPr>
            <w:r>
              <w:rPr/>
              <w:t>Issuance of common units pursuant to the Investment Consulting and Marketing Services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1138" w:type="dxa"/>
            <w:tcBorders/>
            <w:shd w:fill="CCEEFF" w:val="clear"/>
            <w:vAlign w:val="center"/>
          </w:tcPr>
          <w:p>
            <w:pPr>
              <w:pStyle w:val="TableContents"/>
              <w:bidi w:val="0"/>
              <w:spacing w:before="0" w:after="283"/>
              <w:jc w:val="left"/>
              <w:rPr/>
            </w:pPr>
            <w:r>
              <w:rPr/>
              <w:t>Issuance of preferred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451,702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451,702</w:t>
            </w:r>
          </w:p>
        </w:tc>
        <w:tc>
          <w:tcPr>
            <w:tcW w:w="78" w:type="dxa"/>
            <w:tcBorders/>
            <w:shd w:fill="CCEEFF" w:val="clear"/>
            <w:vAlign w:val="center"/>
          </w:tcPr>
          <w:p>
            <w:pPr>
              <w:pStyle w:val="TableContents"/>
              <w:bidi w:val="0"/>
              <w:spacing w:before="0" w:after="283"/>
              <w:jc w:val="left"/>
              <w:rPr/>
            </w:pPr>
            <w:r>
              <w:rPr/>
              <w:t> </w:t>
            </w:r>
          </w:p>
        </w:tc>
      </w:tr>
      <w:tr>
        <w:trPr/>
        <w:tc>
          <w:tcPr>
            <w:tcW w:w="1138" w:type="dxa"/>
            <w:tcBorders/>
            <w:shd w:fill="FFFFFF" w:val="clear"/>
            <w:vAlign w:val="center"/>
          </w:tcPr>
          <w:p>
            <w:pPr>
              <w:pStyle w:val="TableContents"/>
              <w:bidi w:val="0"/>
              <w:spacing w:before="0" w:after="283"/>
              <w:jc w:val="left"/>
              <w:rPr/>
            </w:pPr>
            <w:r>
              <w:rPr/>
              <w:t>Issuance of preferred units,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8,500</w:t>
            </w:r>
          </w:p>
        </w:tc>
        <w:tc>
          <w:tcPr>
            <w:tcW w:w="78" w:type="dxa"/>
            <w:tcBorders/>
            <w:shd w:fill="FFFFFF" w:val="clear"/>
            <w:vAlign w:val="center"/>
          </w:tcPr>
          <w:p>
            <w:pPr>
              <w:pStyle w:val="TableContents"/>
              <w:bidi w:val="0"/>
              <w:spacing w:before="0" w:after="283"/>
              <w:jc w:val="left"/>
              <w:rPr/>
            </w:pPr>
            <w:r>
              <w:rPr/>
              <w:t> </w:t>
            </w:r>
          </w:p>
        </w:tc>
      </w:tr>
      <w:tr>
        <w:trPr/>
        <w:tc>
          <w:tcPr>
            <w:tcW w:w="1138" w:type="dxa"/>
            <w:tcBorders/>
            <w:shd w:fill="CCEEFF" w:val="clear"/>
            <w:vAlign w:val="center"/>
          </w:tcPr>
          <w:p>
            <w:pPr>
              <w:pStyle w:val="TableContents"/>
              <w:bidi w:val="0"/>
              <w:spacing w:before="0" w:after="283"/>
              <w:jc w:val="left"/>
              <w:rPr/>
            </w:pPr>
            <w:r>
              <w:rPr/>
              <w:t>Net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78" w:type="dxa"/>
            <w:tcBorders/>
            <w:shd w:fill="CCEEFF" w:val="clear"/>
            <w:vAlign w:val="center"/>
          </w:tcPr>
          <w:p>
            <w:pPr>
              <w:pStyle w:val="TableContents"/>
              <w:bidi w:val="0"/>
              <w:spacing w:before="0" w:after="283"/>
              <w:jc w:val="left"/>
              <w:rPr/>
            </w:pPr>
            <w:r>
              <w:rPr/>
              <w:t> </w:t>
            </w:r>
          </w:p>
        </w:tc>
      </w:tr>
      <w:tr>
        <w:trPr/>
        <w:tc>
          <w:tcPr>
            <w:tcW w:w="11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profit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78" w:type="dxa"/>
            <w:tcBorders/>
            <w:shd w:fill="CCEEFF" w:val="clear"/>
            <w:vAlign w:val="center"/>
          </w:tcPr>
          <w:p>
            <w:pPr>
              <w:pStyle w:val="TableContents"/>
              <w:bidi w:val="0"/>
              <w:spacing w:before="0" w:after="283"/>
              <w:jc w:val="left"/>
              <w:rPr/>
            </w:pPr>
            <w:r>
              <w:rPr/>
              <w:t> </w:t>
            </w:r>
          </w:p>
        </w:tc>
      </w:tr>
      <w:tr>
        <w:trPr/>
        <w:tc>
          <w:tcPr>
            <w:tcW w:w="1138" w:type="dxa"/>
            <w:tcBorders/>
            <w:shd w:fill="FFFFFF" w:val="clear"/>
            <w:vAlign w:val="center"/>
          </w:tcPr>
          <w:p>
            <w:pPr>
              <w:pStyle w:val="TableContents"/>
              <w:bidi w:val="0"/>
              <w:spacing w:before="0" w:after="283"/>
              <w:jc w:val="left"/>
              <w:rPr>
                <w:b/>
              </w:rPr>
            </w:pPr>
            <w:r>
              <w:rPr>
                <w:b/>
              </w:rPr>
              <w:t>Balance as of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51,650,000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460,202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34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484,820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29"/>
        <w:gridCol w:w="60"/>
        <w:gridCol w:w="230"/>
        <w:gridCol w:w="1440"/>
        <w:gridCol w:w="95"/>
        <w:gridCol w:w="60"/>
        <w:gridCol w:w="243"/>
        <w:gridCol w:w="1535"/>
        <w:gridCol w:w="113"/>
      </w:tblGrid>
      <w:tr>
        <w:trPr/>
        <w:tc>
          <w:tcPr>
            <w:tcW w:w="64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8"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Period from</w:t>
            </w:r>
          </w:p>
          <w:p>
            <w:pPr>
              <w:pStyle w:val="TableContents"/>
              <w:bidi w:val="0"/>
              <w:jc w:val="center"/>
              <w:rPr>
                <w:rFonts w:ascii="Times New Roman;Times;Serif" w:hAnsi="Times New Roman;Times;Serif"/>
                <w:b/>
              </w:rPr>
            </w:pPr>
            <w:r>
              <w:rPr>
                <w:rFonts w:ascii="Times New Roman;Times;Serif" w:hAnsi="Times New Roman;Times;Serif"/>
                <w:b/>
              </w:rPr>
              <w:t>June 10, 2025</w:t>
            </w:r>
          </w:p>
          <w:p>
            <w:pPr>
              <w:pStyle w:val="TableContents"/>
              <w:bidi w:val="0"/>
              <w:spacing w:before="0" w:after="283"/>
              <w:jc w:val="center"/>
              <w:rPr>
                <w:rFonts w:ascii="Times New Roman;Times;Serif" w:hAnsi="Times New Roman;Times;Serif"/>
                <w:b/>
              </w:rPr>
            </w:pPr>
            <w:r>
              <w:rPr>
                <w:rFonts w:ascii="Times New Roman;Times;Serif" w:hAnsi="Times New Roman;Times;Serif"/>
                <w:b/>
              </w:rPr>
              <w:t>(Inception) through</w:t>
            </w:r>
          </w:p>
        </w:tc>
        <w:tc>
          <w:tcPr>
            <w:tcW w:w="113" w:type="dxa"/>
            <w:tcBorders/>
            <w:vAlign w:val="center"/>
          </w:tcPr>
          <w:p>
            <w:pPr>
              <w:pStyle w:val="TableContents"/>
              <w:bidi w:val="0"/>
              <w:spacing w:before="0" w:after="283"/>
              <w:jc w:val="center"/>
              <w:rPr/>
            </w:pPr>
            <w:r>
              <w:rPr/>
              <w:t> </w:t>
            </w:r>
          </w:p>
        </w:tc>
      </w:tr>
      <w:tr>
        <w:trPr/>
        <w:tc>
          <w:tcPr>
            <w:tcW w:w="64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3" w:type="dxa"/>
            <w:tcBorders/>
            <w:vAlign w:val="center"/>
          </w:tcPr>
          <w:p>
            <w:pPr>
              <w:pStyle w:val="TableContents"/>
              <w:bidi w:val="0"/>
              <w:spacing w:before="0" w:after="283"/>
              <w:jc w:val="center"/>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Adjustments to reconcile net (loss)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(14,296</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debt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discount and debt issuance costs on Convertible Notes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Escrow account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investors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digital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digital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CFO Silvia, net of cash acquired</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fixed assets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Convertible Notes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(119,152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derivative securities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paid on RSU vesting</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derivative securities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derivative securities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preferred units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(179,523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as consideration for CFO Silvia Acquisition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Share-settled earnout consideration for CFO Silvia Acquisition</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of digital assets for preferred units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32,000</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of digital assets for preferred units, related party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recognition of conversion feature liability</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56,299</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due to related party to a promissory note, related party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 (the “Company” or “ProCap”) was founded in June 2025 and, together with its subsidiaries, is a U.S.-based modern finance company focused on developing technology-enabled products and services that leverage artificial intelligence (“AI”), data analytics, and automation to support financial analysis, investment research, and investor decision support. The Company’s mission is to help independent investors make money. Historically, the Company’s operations included investor-focused media, educational content, and strategic investments designed to support independent investors through digital platforms and other content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5, 2025, the Company completed a business combination with Columbus Circle Capital Corp I (“CCCM”) (the “Transaction”), which was accounted for as a reverse recapitalization in accordance with U.S. generally accepted accounting principles (“GAAP”). ProCap BTC, LLC (“ProCap BTC”) was determined to be the accounting acquirer and CCCM was treated as the acquired company for financial reporting purposes. The Company was deemed to be the accounting acquirer based on Accounting Standard Update No. 2025-03. </w:t>
      </w:r>
      <w:r>
        <w:rPr>
          <w:rFonts w:ascii="Times New Roman;Times;Serif" w:hAnsi="Times New Roman;Times;Serif"/>
          <w:b w:val="false"/>
          <w:i/>
          <w:caps w:val="false"/>
          <w:smallCaps w:val="false"/>
          <w:sz w:val="20"/>
        </w:rPr>
        <w:t>Business Combinations (Topic 805) and Consolidation (Topic 810): Determining the Accounting Acquirer in the Acquisition of a Variable Interest Entity,</w:t>
      </w:r>
      <w:r>
        <w:rPr>
          <w:rFonts w:ascii="Times New Roman;Times;Serif" w:hAnsi="Times New Roman;Times;Serif"/>
          <w:b w:val="false"/>
          <w:i w:val="false"/>
          <w:caps w:val="false"/>
          <w:smallCaps w:val="false"/>
          <w:sz w:val="20"/>
        </w:rPr>
        <w:t xml:space="preserve"> which we early adopted. Following the Transaction, ProCap became the publicly traded parent company, and ProCap BTC became its operating subsidiary. As a result, the historical financial statements of ProCap BTC became the historical financial statements of the Company. Accordingly, the comparative financial information presented for periods prior to the Transaction, including the period from June 10, 2025 (inception) through June 30, 2025, reflects the historical results of ProCap BTC.</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expanded its strategic focus through investments in AI-enabled financial technology solutions designed to enhance portfolio analysis, financial planning, and investor decision support. As part of this initiative, the Company launched ProCap Insights, an agentic financial research offering, and acquired CFO Silvia, Inc. (“CFO Silvia”), an AI agent lab focused on finance. The acquisition was completed on April 6, 2026, (the “Acquisition Date”), and CFO Silvia became a wholly owned subsidiary of the Company, see Footnote 3 – CFO Silvia Acquisition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results of operations for the three and six months ended June 30, 2026 reflect continued investment in the development of its AI-enabled financial technology platform, strategic investments, Bitcoin holdings and the acquisition and integration of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unaudited consolidated financial statements have been prepared in accordance with GAAP for interim financial information and pursuant to the rules and regulations of the U.S. Securities and Exchange Commission. Accordingly, they do not include all information and disclosures required by GAAP for complete annual financial statements. In the opinion of management, all adjustments considered necessary for a fair presentation of the interim periods presented have been included.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interim periods presented are not necessarily indicative of the results that may be expected for the full year. These condensed unaudited consolidated financial statements should be read in conjunction with the audited consolidated financial statements and related notes included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ProCap Financial, Inc. and the Company’s wholly-owned subsidiaries. All intercompany transactions have been eliminated upon consolidation of these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unaudited condensed consolidated financial statements in conformity with GAAP requires management to make certain estimates and assumptions that affect the reported amounts and disclosure of assets and liabilities at the date of the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is the effect of a condition, situation or set of circumstances that existed at the date of the financial statements, which could change in the near term due to one or more future confirming events. Significant accounting estimates include the fair values of the assets acquired and liabilities assumed in the CFO Silvia acquisition, including acquired identifiable intangible assets and their estimated useful lives, the fair value of the contingent consideration issuable under the share-settled earnout arrangement, valuations of the conversion feature liability associated with the Convertible Note, and the valuations of share-based awards. Accordingly, the actual results could differ significantly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approximately $15.3 million and working capital of approximately ($77.3 million). The negative working capital resulted primarily from the Convertible Notes that can, at the option of the holders, be repurchased for cash in June 2027 (see further in Note 7). The Company believes it has sufficient resources to meet this potential obligation, primarily through its holding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provisions of the Accounting Standards Codification (“ASC”) 805, Business Combinations, in accounting for its acquisitions. The assets acquired and liabilities assumed are recognized at their acquisition date fair values, and goodwill is measured as the excess of consideration transferred over the acquisition date fair values of the assets acquired and the liabilities assumed. While the Company uses its best estimates and assumptions to accurately value assets acquired and liabilities assumed at the acquisition date, estimates are inherently uncertain and subject to refinement. As a result, during the measurement period, which shall not exceed one year from the acquisition date, the Company records adjustments to the assets acquired and liabilities assumed with a corresponding offset to goodwill. Upon the conclusion of the measurement period or final determination of the values of assets acquired or liabilities assumed, whichever comes first, any subsequent adjustments are recorded in the Company’s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all available information to estimate fair values, including quoted market prices, the carrying value of acquired assets and assumed liabilities and valuation techniques. The judgments made in determining the estimated fair value assigned to each class of assets acquired and liabilities assumed, as well as the useful lives of the assets acquired, can materially impact the Company’s financial condition or results of operations. Other estimates associated with the accounting for acquisitions may change as additional information becomes available regarding the assets acquired and liabilities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initially recorded at their estimated fair values as of the acquisition date and are amortized on a straight-line basis over their estimated useful lives. The Company reviews finite-lived intangible assets for impairment whenever events or changes in circumstances indicate that the carrying amount may not be recoverable. Intangible asset amortization expense of $1.2 million for the six months ended June 30, 2026 is recorded within general and administrative expenses in the Company’s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carrying value of intangible assets at June 30, 2026, estimated amortization expense for the subsequent five years is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Carrying Value of Intangible Assets</w:t>
      </w:r>
    </w:p>
    <w:tbl>
      <w:tblPr>
        <w:tblW w:w="6100" w:type="dxa"/>
        <w:jc w:val="left"/>
        <w:tblInd w:w="0" w:type="dxa"/>
        <w:tblLayout w:type="fixed"/>
        <w:tblCellMar>
          <w:top w:w="0" w:type="dxa"/>
          <w:left w:w="0" w:type="dxa"/>
          <w:bottom w:w="0" w:type="dxa"/>
          <w:right w:w="0" w:type="dxa"/>
        </w:tblCellMar>
      </w:tblPr>
      <w:tblGrid>
        <w:gridCol w:w="5105"/>
        <w:gridCol w:w="60"/>
        <w:gridCol w:w="146"/>
        <w:gridCol w:w="714"/>
        <w:gridCol w:w="7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2026 (excluding the six months ended June 30, 2026)</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2,369</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4,739</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4,739</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1,299</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152</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2031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152</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pPr>
            <w:r>
              <w:rPr/>
              <w:t>645</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pPr>
            <w:r>
              <w:rPr/>
              <w:t>14,095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identifiable net assets acquired in a business combination. Goodwill is not amortized but is tested for impairment at least annually and more frequently if events or changes in circumstances indicate that impairment may exist. The Company may perform a qualitative assessment to determine whether it is more likely than not that the fair value of a reporting unit is less than its carrying amount. If necessary, the Company performs a quantitative impairment test and recognizes an impairment loss for the amount by which the carrying amount of the reporting unit exceeds its fair value, limited to the amount of goodwill allocated to the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At contract inception, the Company determines whether an arrangement contains a lease based on whether it conveys the right to control the use of an identified asset for a period of time in exchange for consideration. The Company has elected the practical expedient under ASC 842 to account for lease and non-lease components as a single lease component for its studio lease. Variable payments associated with cleaning services, utilities, building amenities, and other operating costs are recognized as lease expense in the period incurred and are not included in the measurement of the lease liability.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(“ROU”) assets represent the Company’s right to use an underlying asset over the lease term, and lease liabilities represent the Company’s obligation to make lease payments arising from the lease. ROU assets and lease liabilities are recognized at the lease commencement date based on the present value of lease payments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are measured using the present value of fixed lease payments. The Company uses its incremental borrowing rate at the commencement date to discount the lease payments, as the rate implicit in the lease is generally not readily determinable.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are measured as the initial amount of the lease liability, adjusted for lease prepayments, initial direct costs, and lease incentives received. Lease expense for operating leases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short-term lease exemption for leases with an initial term of 12 months or less; such leases are not recognized on the balance sheet and lease payments are recognized as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presented on the Company’s unaudited condensed consolidated balance sheet as ROU assets, lease liability, current, and lease liability, non-current. Cash payments for operating leases are included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Recent Accounting Pronouncements, recently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FASB issued ASU No. 2024-04, Debt—Debt with Conversion and Other Options (Subtopic 470-20): Induced Conversions of Convertible Debt Instruments. This ASU provides guidance on the accounting for induced conversions of convertible debt instruments and eliminates the current requirement to recognize an expense equal to the fair value of all securities and other consideration transferred in an induced conversion that is in excess of the fair value of securities issuable pursuant to the original conversion terms. The amendments are effective for fiscal years beginning after December 15, 2025, with early adoption permitted. The adoption of this ASU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 xml:space="preserve">Financial Instruments - Credit Losses (Topic 326): Simplifications to the Current Expected Credit Losses Model for Certain Financial Assets. </w:t>
      </w:r>
      <w:r>
        <w:rPr>
          <w:rFonts w:ascii="Times New Roman;Times;Serif" w:hAnsi="Times New Roman;Times;Serif"/>
          <w:b w:val="false"/>
          <w:i w:val="false"/>
          <w:caps w:val="false"/>
          <w:smallCaps w:val="false"/>
          <w:sz w:val="20"/>
        </w:rPr>
        <w:t>This ASU introduces a practical expedient that permits entities to estimate expected credit losses for certain short-term financial assets, including trade receivables and contract assets, based on current conditions without requiring reasonable and supportable forecasts. The new guidance is effective for fiscal years beginning after December 15, 2025, including interim periods within those fiscal years, with early adoption permitted. The adoption of this ASU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Recent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the FASB issued ASU No. 2024-03, Income Statement—Reporting Comprehensive Income—Expense Disaggregation Disclosures (Subtopic 220-40). The update improves financial reporting by requiring that public business entities disclose additional information about certain costs and expenses categories: (a) purchases of inventory, (b) employee compensation, (c) depreciation, (d) intangible asset amortization, and (e) depreciation, depletion, and amortization in the notes to financial statements at interim and annual reporting periods. This update is effective for fiscal years beginning after December 15, 2026, and early adoption is permitted. Additionally, in January 2025, the FASB issued ASU No. 2025-01, </w:t>
      </w:r>
      <w:r>
        <w:rPr>
          <w:rFonts w:ascii="Times New Roman;Times;Serif" w:hAnsi="Times New Roman;Times;Serif"/>
          <w:b w:val="false"/>
          <w:i/>
          <w:caps w:val="false"/>
          <w:smallCaps w:val="false"/>
          <w:sz w:val="20"/>
        </w:rPr>
        <w:t>Income Statement—Reporting Comprehensive Income—Expense Disaggregation Disclosures</w:t>
      </w:r>
      <w:r>
        <w:rPr>
          <w:rFonts w:ascii="Times New Roman;Times;Serif" w:hAnsi="Times New Roman;Times;Serif"/>
          <w:b w:val="false"/>
          <w:i w:val="false"/>
          <w:caps w:val="false"/>
          <w:smallCaps w:val="false"/>
          <w:sz w:val="20"/>
        </w:rPr>
        <w:t xml:space="preserve"> (Subtopic 220-40). ASU No. 2025-01 amends the effective date of ASU No. 2024-03 to clarify the initial effective date for entities that do not have an annual reporting period that ends on December 31, referred to as non-calendar year end entities. All public business entities are required to adopt the guidance in annual reporting periods beginning after December 15, 2026, and interim periods within annual reporting periods beginning after December 15, 2027, and early adoption is permitted. The amendments should be applied prospectively with retrospective applications also permitted. The Company is currently evaluating the impact the standard will have on its consolidated financial statements and related disclosures, however, the Company does not expect the adoption of this guidance to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Acquisition Date, the Company acquired 100% of the outstanding equity interests of CFO Silvia (the “CFO Silvia Acquisition”) pursuant to the Agreement and Plan of Merger (the “Merger Agreement”) by and among the Company, Silvia Merger Sub, Inc., CFO Silvia, Inflection Points Inc., Shain Noor, and Shain Noor as Stockholder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is a financial technology company that has developed a consumer-facing platform that organizes data and delivers financial summaries to users through an interactive interface. The Company acquired CFO Silvia largely to obtain access to the user platform, which management expects to leverage to broaden the Company’s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CFO Silvia Acquisition, all outstanding options and other equity-linked interests of CFO Silvia were accelerated and converted into equity interests in accordance with the terms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consideration transferred in connection with the CFO Silvia Acquisition was $23.3 million, consisting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Common stock consideration of $16.0 million, consisting of 8,416,951 shares of the Company’s common stock based on the Company’s closing stock price on the Acquisition Date of $1.90, including 900,000 shares deposited into an escrow account to secure certain indemnification obligations for a period of twelve months following the Acquisition date. The former equity holders of CFO Silvia remain the beneficial owners of the escrowed shares and retain voting and dividend rights during the escrow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Contingent consideration of $5.9 million related to fair value of 4,643,250 potential earnout shares issuable upon the achievement of specified market-based conditions. Pursuant to the Merger Agreement, the earnout shares will be issued if the Company’s common stock price equals or exceeds $9.00 per share during the contractual measurement period. The fair value of the contingent consideration was estimated using a Monte Carlo simulation model that incorporated assumptions regarding expected stock price volatility, risk-free interest rates and the probability of achieving the market condition. The undiscounted range of outcomes associated with the arrangement is either (i) no shares issued or (ii) issuance of 4,643,250 shares upon achievement of the specified market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Cash consideration of $1.4 million related to the repayment of CFO Silvia’s indebtedness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CFO Silvia Acquisition, the Company also agreed to pay a $5.0 million signing bonus to Shain Noor. This arrangement was determined to be separate from the transaction and is accounted for as compensation expense. In addition, certain earnout share arrangements granted to Shain Noor were determined to be compensation arrangements and were accounted for as share-based compensation. See Note 11, Share-Based Compensation,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preliminary fair value of assets acquired and liabilities assumed as of the Acquisition Date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Assets Acquired And Liabilities Assumed</w:t>
      </w:r>
    </w:p>
    <w:tbl>
      <w:tblPr>
        <w:tblW w:w="5355" w:type="dxa"/>
        <w:jc w:val="left"/>
        <w:tblInd w:w="0" w:type="dxa"/>
        <w:tblLayout w:type="fixed"/>
        <w:tblCellMar>
          <w:top w:w="0" w:type="dxa"/>
          <w:left w:w="0" w:type="dxa"/>
          <w:bottom w:w="0" w:type="dxa"/>
          <w:right w:w="0" w:type="dxa"/>
        </w:tblCellMar>
      </w:tblPr>
      <w:tblGrid>
        <w:gridCol w:w="4295"/>
        <w:gridCol w:w="60"/>
        <w:gridCol w:w="151"/>
        <w:gridCol w:w="739"/>
        <w:gridCol w:w="110"/>
      </w:tblGrid>
      <w:tr>
        <w:trPr/>
        <w:tc>
          <w:tcPr>
            <w:tcW w:w="4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Reported</w:t>
            </w:r>
          </w:p>
        </w:tc>
        <w:tc>
          <w:tcPr>
            <w:tcW w:w="110" w:type="dxa"/>
            <w:tcBorders/>
            <w:vAlign w:val="center"/>
          </w:tcPr>
          <w:p>
            <w:pPr>
              <w:pStyle w:val="TableContents"/>
              <w:bidi w:val="0"/>
              <w:spacing w:before="0" w:after="283"/>
              <w:jc w:val="center"/>
              <w:rPr/>
            </w:pPr>
            <w:r>
              <w:rPr/>
              <w:t> </w:t>
            </w:r>
          </w:p>
        </w:tc>
      </w:tr>
      <w:tr>
        <w:trPr/>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15,280</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12,671</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 and 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95" w:type="dxa"/>
            <w:tcBorders/>
            <w:shd w:fill="CCEEFF" w:val="clear"/>
            <w:vAlign w:val="center"/>
          </w:tcPr>
          <w:p>
            <w:pPr>
              <w:pStyle w:val="TableContents"/>
              <w:bidi w:val="0"/>
              <w:spacing w:before="0" w:after="283"/>
              <w:jc w:val="both"/>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8" w:space="0" w:color="000000"/>
            </w:tcBorders>
            <w:shd w:fill="CCEEFF" w:val="clear"/>
            <w:tcMar>
              <w:bottom w:w="28" w:type="dxa"/>
            </w:tcMar>
            <w:vAlign w:val="center"/>
          </w:tcPr>
          <w:p>
            <w:pPr>
              <w:pStyle w:val="TableContents"/>
              <w:bidi w:val="0"/>
              <w:spacing w:before="0" w:after="283"/>
              <w:jc w:val="right"/>
              <w:rPr/>
            </w:pPr>
            <w:r>
              <w:rPr/>
              <w:t>(3,082</w:t>
            </w:r>
          </w:p>
        </w:tc>
        <w:tc>
          <w:tcPr>
            <w:tcW w:w="11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net assets acquired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23,309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purchase price allocation resulted in the recognition of identifiable intangible assets consisting of a trademark, non-compete agreement and user platform with estimated fair values of approximately $1.5 million, $2.3 million and $11.4 million, respectively. The trademark was assigned an estimated useful life of 10 years, while the non-compete agreement and user platform were each assigned estimated useful lives of 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is preliminary and remains subject to measurement period adjustments related to the finalization of certain income tax matters and the valuation of acquired assets and liabilities assumed. Accordingly, the provisional amounts recognized at the Acquisition Date may be adjusted during the measurement period, which will not exceed one year from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CFO Silvia Acquisition accounting resulted in the recognition of goodwill of $12.7 million. Goodwill is attributable primarily to expected synergies from integrating CFO Silvia’s proprietary technology platform and related capabilities into the Company’s existing operations, as well as future growth opportunities and the value of the assembled workforce that does not meet the criteria for separate recognition as an identifiable intangible asset. The goodwill recognized is not expected to be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approximately $1.4 million of expenses directly related to the CFO Silvia Acquisition, which were included in “general and administrative expenses” in the unaudited condensed consolidated statements of operations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and net loss attributable to CFO Silvia included in the Company’s unaudited condensed consolidated statements of operations from April 6, 2026 through June 30, 2026 were $12 thousand and $8.4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Unaudited Pro Forma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unaudited pro forma consolidated financial information presents the results of operations of the Company for the three and six months ended June 30, 2026, as if the CFO Silvia Acquisition had occurred on January 1, 2026. Because CFO Silvia was incorporated on September 19, 2025, supplemental pro forma revenue and earnings information for the three and six months ended June 30, 2025 has not been presented.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gives effect to certain purchase accounting adjustments related to the CFO Silvia Acquisition and is based on the historical financial statements of ProCap. It is presented for illustrative purposes only and is not necessarily indicative of the Company’s actual operating results had the CFO Silvia Acquisition occurred on January 1, 2026, nor is it indicative of future results (In thousands).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Proforma Information of Operations </w:t>
      </w:r>
    </w:p>
    <w:tbl>
      <w:tblPr>
        <w:tblW w:w="3644" w:type="dxa"/>
        <w:jc w:val="left"/>
        <w:tblInd w:w="0" w:type="dxa"/>
        <w:tblLayout w:type="fixed"/>
        <w:tblCellMar>
          <w:top w:w="0" w:type="dxa"/>
          <w:left w:w="0" w:type="dxa"/>
          <w:bottom w:w="0" w:type="dxa"/>
          <w:right w:w="0" w:type="dxa"/>
        </w:tblCellMar>
      </w:tblPr>
      <w:tblGrid>
        <w:gridCol w:w="875"/>
        <w:gridCol w:w="60"/>
        <w:gridCol w:w="404"/>
        <w:gridCol w:w="2195"/>
        <w:gridCol w:w="110"/>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Proforma</w:t>
            </w:r>
          </w:p>
        </w:tc>
        <w:tc>
          <w:tcPr>
            <w:tcW w:w="110"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9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For the three months ended</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110"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1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3449" w:type="dxa"/>
        <w:jc w:val="left"/>
        <w:tblInd w:w="0" w:type="dxa"/>
        <w:tblLayout w:type="fixed"/>
        <w:tblCellMar>
          <w:top w:w="0" w:type="dxa"/>
          <w:left w:w="0" w:type="dxa"/>
          <w:bottom w:w="0" w:type="dxa"/>
          <w:right w:w="0" w:type="dxa"/>
        </w:tblCellMar>
      </w:tblPr>
      <w:tblGrid>
        <w:gridCol w:w="875"/>
        <w:gridCol w:w="60"/>
        <w:gridCol w:w="331"/>
        <w:gridCol w:w="2073"/>
        <w:gridCol w:w="110"/>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Proforma</w:t>
            </w:r>
          </w:p>
        </w:tc>
        <w:tc>
          <w:tcPr>
            <w:tcW w:w="11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For the six months ended</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11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1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0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adjustments to net loss for the three months and six months ended June 30, 2026 include adjustments for amortization of acquired identifiable intangible assets related to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units held, cost basis and fair value of crypto assets held, as shown on the balance sheet as of June 30, 2026 and December 31, 2025, respectively (In thousands, except for crypto asset quantities):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Significant Digital Assets Holdings</w:t>
      </w:r>
    </w:p>
    <w:tbl>
      <w:tblPr>
        <w:tblW w:w="4203" w:type="dxa"/>
        <w:jc w:val="left"/>
        <w:tblInd w:w="0" w:type="dxa"/>
        <w:tblLayout w:type="fixed"/>
        <w:tblCellMar>
          <w:top w:w="0" w:type="dxa"/>
          <w:left w:w="0" w:type="dxa"/>
          <w:bottom w:w="0" w:type="dxa"/>
          <w:right w:w="0" w:type="dxa"/>
        </w:tblCellMar>
      </w:tblPr>
      <w:tblGrid>
        <w:gridCol w:w="725"/>
        <w:gridCol w:w="60"/>
        <w:gridCol w:w="89"/>
        <w:gridCol w:w="831"/>
        <w:gridCol w:w="60"/>
        <w:gridCol w:w="60"/>
        <w:gridCol w:w="159"/>
        <w:gridCol w:w="910"/>
        <w:gridCol w:w="60"/>
        <w:gridCol w:w="60"/>
        <w:gridCol w:w="166"/>
        <w:gridCol w:w="948"/>
        <w:gridCol w:w="75"/>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 2026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Bitcoin</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725"/>
        <w:gridCol w:w="60"/>
        <w:gridCol w:w="89"/>
        <w:gridCol w:w="831"/>
        <w:gridCol w:w="60"/>
        <w:gridCol w:w="60"/>
        <w:gridCol w:w="159"/>
        <w:gridCol w:w="910"/>
        <w:gridCol w:w="60"/>
        <w:gridCol w:w="60"/>
        <w:gridCol w:w="166"/>
        <w:gridCol w:w="948"/>
        <w:gridCol w:w="75"/>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 2025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Bitcoin</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the fair values of the Company’s digital assets for the six months ended June 30, 2026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Reconciliation of Digital Assets</w:t>
      </w:r>
    </w:p>
    <w:tbl>
      <w:tblPr>
        <w:tblW w:w="6104" w:type="dxa"/>
        <w:jc w:val="left"/>
        <w:tblInd w:w="0" w:type="dxa"/>
        <w:tblLayout w:type="fixed"/>
        <w:tblCellMar>
          <w:top w:w="0" w:type="dxa"/>
          <w:left w:w="0" w:type="dxa"/>
          <w:bottom w:w="0" w:type="dxa"/>
          <w:right w:w="0" w:type="dxa"/>
        </w:tblCellMar>
      </w:tblPr>
      <w:tblGrid>
        <w:gridCol w:w="4880"/>
        <w:gridCol w:w="60"/>
        <w:gridCol w:w="145"/>
        <w:gridCol w:w="909"/>
        <w:gridCol w:w="110"/>
      </w:tblGrid>
      <w:tr>
        <w:trPr/>
        <w:tc>
          <w:tcPr>
            <w:tcW w:w="48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Digital assets fair value as of December 31, 2025</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 of digital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35,953</w:t>
            </w:r>
          </w:p>
        </w:tc>
        <w:tc>
          <w:tcPr>
            <w:tcW w:w="11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of digital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unrealized loss on digital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Digital assets fair value as of June 30, 2026</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Prepaid Expenses and Other Current Assets</w:t>
      </w:r>
    </w:p>
    <w:tbl>
      <w:tblPr>
        <w:tblW w:w="8100" w:type="dxa"/>
        <w:jc w:val="left"/>
        <w:tblInd w:w="0" w:type="dxa"/>
        <w:tblLayout w:type="fixed"/>
        <w:tblCellMar>
          <w:top w:w="0" w:type="dxa"/>
          <w:left w:w="0" w:type="dxa"/>
          <w:bottom w:w="0" w:type="dxa"/>
          <w:right w:w="0" w:type="dxa"/>
        </w:tblCellMar>
      </w:tblPr>
      <w:tblGrid>
        <w:gridCol w:w="4475"/>
        <w:gridCol w:w="60"/>
        <w:gridCol w:w="283"/>
        <w:gridCol w:w="1132"/>
        <w:gridCol w:w="60"/>
        <w:gridCol w:w="60"/>
        <w:gridCol w:w="391"/>
        <w:gridCol w:w="1564"/>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center"/>
              <w:rPr/>
            </w:pPr>
            <w:r>
              <w:rPr/>
              <w:t> </w:t>
            </w:r>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insurance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1,813</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other</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Fixed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consist of the following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Fixed Assets</w:t>
      </w:r>
    </w:p>
    <w:tbl>
      <w:tblPr>
        <w:tblW w:w="6683" w:type="dxa"/>
        <w:jc w:val="left"/>
        <w:tblInd w:w="0" w:type="dxa"/>
        <w:tblLayout w:type="fixed"/>
        <w:tblCellMar>
          <w:top w:w="0" w:type="dxa"/>
          <w:left w:w="0" w:type="dxa"/>
          <w:bottom w:w="0" w:type="dxa"/>
          <w:right w:w="0" w:type="dxa"/>
        </w:tblCellMar>
      </w:tblPr>
      <w:tblGrid>
        <w:gridCol w:w="2990"/>
        <w:gridCol w:w="60"/>
        <w:gridCol w:w="380"/>
        <w:gridCol w:w="1034"/>
        <w:gridCol w:w="95"/>
        <w:gridCol w:w="60"/>
        <w:gridCol w:w="574"/>
        <w:gridCol w:w="1380"/>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Furniture and equipment</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fixed assets, net</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calculated using the straight-line method, was approximately $26 thousand and $65 thousand for the three and six months ended June 30, 2026, respectively. Depreciation expense for the period from June 10, 2025 (Inception) through June 30, 2025 was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carrying value of the Company’s outstanding debt consisted of the following, as of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Debt</w:t>
      </w:r>
    </w:p>
    <w:tbl>
      <w:tblPr>
        <w:tblW w:w="6173" w:type="dxa"/>
        <w:jc w:val="left"/>
        <w:tblInd w:w="0" w:type="dxa"/>
        <w:tblLayout w:type="fixed"/>
        <w:tblCellMar>
          <w:top w:w="0" w:type="dxa"/>
          <w:left w:w="0" w:type="dxa"/>
          <w:bottom w:w="0" w:type="dxa"/>
          <w:right w:w="0" w:type="dxa"/>
        </w:tblCellMar>
      </w:tblPr>
      <w:tblGrid>
        <w:gridCol w:w="2705"/>
        <w:gridCol w:w="60"/>
        <w:gridCol w:w="203"/>
        <w:gridCol w:w="986"/>
        <w:gridCol w:w="95"/>
        <w:gridCol w:w="60"/>
        <w:gridCol w:w="290"/>
        <w:gridCol w:w="1664"/>
        <w:gridCol w:w="110"/>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 due 2028</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Discount, net (1)</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issuance costs, net (2)</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Convertible Notes, 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214,172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as of June 30,2026 consisted of $7.1 million of original issue discount and $4.6 million for the initial fair value of the embedded derivative, less accumulated amortization of $1.3 million, gain on debt extinguishment of $6.4 million.</w:t>
            </w:r>
          </w:p>
        </w:tc>
      </w:tr>
      <w:tr>
        <w:trPr/>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as of June 30, 2026 consisted of $9.7 million in debt issuance costs, less accumulated amortization of $1.1 million and gain on debt extinguishment of $5.3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determined the fair value of the Convertible Notes due 2028 as of June 30, 2026 and December 31, 2025 were $92.1 million and $225.7 million, respectively, based on an implied yield of 8.72% (Level 3 inputs). A change in those inputs to a different amount might result in a significantly higher or lower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disaggregation of interest expense for the period June 30, 2026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Disaggregation of Interest Expense</w:t>
      </w:r>
    </w:p>
    <w:tbl>
      <w:tblPr>
        <w:tblW w:w="5290" w:type="dxa"/>
        <w:jc w:val="left"/>
        <w:tblInd w:w="0" w:type="dxa"/>
        <w:tblLayout w:type="fixed"/>
        <w:tblCellMar>
          <w:top w:w="0" w:type="dxa"/>
          <w:left w:w="0" w:type="dxa"/>
          <w:bottom w:w="0" w:type="dxa"/>
          <w:right w:w="0" w:type="dxa"/>
        </w:tblCellMar>
      </w:tblPr>
      <w:tblGrid>
        <w:gridCol w:w="3020"/>
        <w:gridCol w:w="60"/>
        <w:gridCol w:w="427"/>
        <w:gridCol w:w="1708"/>
        <w:gridCol w:w="75"/>
      </w:tblGrid>
      <w:tr>
        <w:trPr/>
        <w:tc>
          <w:tcPr>
            <w:tcW w:w="3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75" w:type="dxa"/>
            <w:tcBorders/>
            <w:vAlign w:val="center"/>
          </w:tcPr>
          <w:p>
            <w:pPr>
              <w:pStyle w:val="TableContents"/>
              <w:bidi w:val="0"/>
              <w:spacing w:before="0" w:after="283"/>
              <w:jc w:val="center"/>
              <w:rPr/>
            </w:pPr>
            <w:r>
              <w:rPr/>
              <w:t> </w:t>
            </w:r>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discount amortization</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issuance cost amortization</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 net</w:t>
            </w:r>
          </w:p>
        </w:tc>
        <w:tc>
          <w:tcPr>
            <w:tcW w:w="60" w:type="dxa"/>
            <w:tcBorders/>
            <w:shd w:fill="CCEEFF" w:val="clear"/>
            <w:vAlign w:val="center"/>
          </w:tcPr>
          <w:p>
            <w:pPr>
              <w:pStyle w:val="TableContents"/>
              <w:bidi w:val="0"/>
              <w:spacing w:before="0" w:after="283"/>
              <w:jc w:val="left"/>
              <w:rPr/>
            </w:pPr>
            <w:r>
              <w:rPr/>
              <w:t> </w:t>
            </w:r>
          </w:p>
        </w:tc>
        <w:tc>
          <w:tcPr>
            <w:tcW w:w="42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have a conversion rate of 76.9 shares per $1,000 equal to an approximately $13.00 conversion price, zero interest rate, maturity of up to 36 months, and are collateralized by certain Bitcoin assets. Under the indenture associated with the Convertible Notes, the Company must maintain at all times a 1.0:2.0 (loan-to-collateral ratio compliance level) times collateralization of the Convertible Notes using a mix of Bitcoin (with Bitcoin being valued at 50% for collateral calculation purposes), and cash and cash equivalents (with cash and cash equivalents being valued at 100% for collateral calculation purposes). As of June 30, 2026, the Company had 3,515 Bitcoin on deposit, of which only 3,404 Bitcoin were required to be used as collateral, at Anchorage Digital Bank, N.A as collateral for the Convertible Notes. The Company retains sole discretion and control over Bitcoin held as collateral. Lenders have no rights to sell, pledge and re-hypothecate this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entered into privately negotiated note repurchase agreements with certain holders of its outstanding Convertible Notes and repurchased $135.4 million in aggregate principal amount for an aggregate cash purchase price of $119.2 million. Following the transaction, $99.6 million aggregate principal amount of Convertible Notes remained outstanding. The Company accounted for the transaction as a debt extinguishment and recognized a gain on extinguishment of debt of $5.9 million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net gain on the extinguishment of debt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Gain on Extinguishment of Debt</w:t>
      </w:r>
    </w:p>
    <w:tbl>
      <w:tblPr>
        <w:tblW w:w="8310" w:type="dxa"/>
        <w:jc w:val="left"/>
        <w:tblInd w:w="0" w:type="dxa"/>
        <w:tblLayout w:type="fixed"/>
        <w:tblCellMar>
          <w:top w:w="0" w:type="dxa"/>
          <w:left w:w="0" w:type="dxa"/>
          <w:bottom w:w="0" w:type="dxa"/>
          <w:right w:w="0" w:type="dxa"/>
        </w:tblCellMar>
      </w:tblPr>
      <w:tblGrid>
        <w:gridCol w:w="6830"/>
        <w:gridCol w:w="60"/>
        <w:gridCol w:w="223"/>
        <w:gridCol w:w="1087"/>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extinguishment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debt</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Excess of the net carrying amount of the repurchased Convertible Notes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16,248</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Derecognition of debt discount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Derecognition of debt issuance costs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Derecognition of conversion feature derivative liability</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1,309</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cash payment as a financing activity in its unaudited condensed consolidated statement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the principal amount of loan maturities due over the next five years as of June 30, 2026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Loan Maturities</w:t>
      </w:r>
    </w:p>
    <w:p>
      <w:pPr>
        <w:pStyle w:val="TextBody"/>
        <w:bidi w:val="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1985"/>
        <w:gridCol w:w="60"/>
        <w:gridCol w:w="268"/>
        <w:gridCol w:w="172"/>
        <w:gridCol w:w="64"/>
        <w:gridCol w:w="64"/>
        <w:gridCol w:w="133"/>
        <w:gridCol w:w="631"/>
        <w:gridCol w:w="64"/>
        <w:gridCol w:w="64"/>
        <w:gridCol w:w="268"/>
        <w:gridCol w:w="172"/>
        <w:gridCol w:w="64"/>
        <w:gridCol w:w="64"/>
        <w:gridCol w:w="268"/>
        <w:gridCol w:w="172"/>
        <w:gridCol w:w="64"/>
        <w:gridCol w:w="64"/>
        <w:gridCol w:w="268"/>
        <w:gridCol w:w="172"/>
        <w:gridCol w:w="64"/>
        <w:gridCol w:w="64"/>
        <w:gridCol w:w="133"/>
        <w:gridCol w:w="631"/>
        <w:gridCol w:w="75"/>
      </w:tblGrid>
      <w:tr>
        <w:trPr/>
        <w:tc>
          <w:tcPr>
            <w:tcW w:w="1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28" w:type="dxa"/>
            <w:gridSpan w:val="22"/>
            <w:tcBorders>
              <w:bottom w:val="single" w:sz="8" w:space="0" w:color="000000"/>
            </w:tcBorders>
            <w:tcMar>
              <w:bottom w:w="28" w:type="dxa"/>
            </w:tcMar>
            <w:vAlign w:val="center"/>
          </w:tcPr>
          <w:p>
            <w:pPr>
              <w:pStyle w:val="TableContents"/>
              <w:bidi w:val="0"/>
              <w:spacing w:before="0" w:after="283"/>
              <w:jc w:val="center"/>
              <w:rPr>
                <w:b/>
                <w:sz w:val="20"/>
              </w:rPr>
            </w:pPr>
            <w:r>
              <w:rPr>
                <w:b/>
                <w:sz w:val="20"/>
              </w:rPr>
              <w:t>5-Year Loan Maturities Fiscal Year</w:t>
            </w:r>
          </w:p>
        </w:tc>
        <w:tc>
          <w:tcPr>
            <w:tcW w:w="75" w:type="dxa"/>
            <w:tcBorders/>
            <w:vAlign w:val="center"/>
          </w:tcPr>
          <w:p>
            <w:pPr>
              <w:pStyle w:val="TableContents"/>
              <w:bidi w:val="0"/>
              <w:spacing w:before="0" w:after="283"/>
              <w:jc w:val="center"/>
              <w:rPr/>
            </w:pPr>
            <w:r>
              <w:rPr/>
              <w:t> </w:t>
            </w:r>
          </w:p>
        </w:tc>
      </w:tr>
      <w:tr>
        <w:trPr/>
        <w:tc>
          <w:tcPr>
            <w:tcW w:w="1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7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2027</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2028</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2029</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2030</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7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75" w:type="dxa"/>
            <w:tcBorders/>
            <w:vAlign w:val="center"/>
          </w:tcPr>
          <w:p>
            <w:pPr>
              <w:pStyle w:val="TableContents"/>
              <w:bidi w:val="0"/>
              <w:spacing w:before="0" w:after="283"/>
              <w:jc w:val="center"/>
              <w:rPr/>
            </w:pPr>
            <w:r>
              <w:rPr/>
              <w:t> </w:t>
            </w:r>
          </w:p>
        </w:tc>
      </w:tr>
      <w:tr>
        <w:trPr/>
        <w:tc>
          <w:tcPr>
            <w:tcW w:w="1985" w:type="dxa"/>
            <w:tcBorders/>
            <w:shd w:fill="CCEEFF" w:val="clear"/>
            <w:vAlign w:val="center"/>
          </w:tcPr>
          <w:p>
            <w:pPr>
              <w:pStyle w:val="TableContents"/>
              <w:bidi w:val="0"/>
              <w:spacing w:before="0" w:after="283"/>
              <w:jc w:val="both"/>
              <w:rPr>
                <w:sz w:val="20"/>
              </w:rPr>
            </w:pPr>
            <w:r>
              <w:rPr>
                <w:sz w:val="20"/>
              </w:rPr>
              <w:t>2028 Convertible Notes</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99,600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99,600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Convertible Notes mature in December 2028, the holders have the right to require the Company to repurchase all or a portion of Convertible Notes for cash at a price equal to 100% of outstanding principal amount anytime on June 5, 2027 (“Repurchase Date”). Because the Repurchase Date occurs within twelve months of June 30, 2026, the carrying amount of the Convertible Notes is presented as current in the unaudited condensed consolidated balance sheet. As of June 30, 2026, the Company held cash and cash equivalents of approximately $15.3 million and 5,355 Bitcoin with an aggregate fair value of approximately $313.4 million. The principal payments reflected in the contractual maturities table above assume that holders exercise their repurchase right on the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assets and liabilities measured at fair value on a recurring basis and the Company’s estimated level within the fair value hierarchy of those assets and liabilities as of June 30, 2026 and December 31, 2025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Assets and Liabilities Measured at Fair Value </w:t>
      </w:r>
    </w:p>
    <w:tbl>
      <w:tblPr>
        <w:tblW w:w="10205" w:type="dxa"/>
        <w:jc w:val="left"/>
        <w:tblInd w:w="0" w:type="dxa"/>
        <w:tblLayout w:type="fixed"/>
        <w:tblCellMar>
          <w:top w:w="0" w:type="dxa"/>
          <w:left w:w="0" w:type="dxa"/>
          <w:bottom w:w="0" w:type="dxa"/>
          <w:right w:w="0" w:type="dxa"/>
        </w:tblCellMar>
      </w:tblPr>
      <w:tblGrid>
        <w:gridCol w:w="2669"/>
        <w:gridCol w:w="60"/>
        <w:gridCol w:w="196"/>
        <w:gridCol w:w="1126"/>
        <w:gridCol w:w="68"/>
        <w:gridCol w:w="68"/>
        <w:gridCol w:w="288"/>
        <w:gridCol w:w="1652"/>
        <w:gridCol w:w="68"/>
        <w:gridCol w:w="68"/>
        <w:gridCol w:w="1284"/>
        <w:gridCol w:w="872"/>
        <w:gridCol w:w="68"/>
        <w:gridCol w:w="68"/>
        <w:gridCol w:w="550"/>
        <w:gridCol w:w="1021"/>
        <w:gridCol w:w="79"/>
      </w:tblGrid>
      <w:tr>
        <w:trPr/>
        <w:tc>
          <w:tcPr>
            <w:tcW w:w="26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39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June 30, 2026</w:t>
            </w:r>
          </w:p>
        </w:tc>
        <w:tc>
          <w:tcPr>
            <w:tcW w:w="79" w:type="dxa"/>
            <w:tcBorders/>
            <w:vAlign w:val="center"/>
          </w:tcPr>
          <w:p>
            <w:pPr>
              <w:pStyle w:val="TableContents"/>
              <w:bidi w:val="0"/>
              <w:spacing w:before="0" w:after="283"/>
              <w:jc w:val="center"/>
              <w:rPr/>
            </w:pPr>
            <w:r>
              <w:rPr/>
              <w:t> </w:t>
            </w:r>
          </w:p>
        </w:tc>
      </w:tr>
      <w:tr>
        <w:trPr/>
        <w:tc>
          <w:tcPr>
            <w:tcW w:w="26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fair value at</w:t>
              <w:br/>
              <w:t>June 30, 2026</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Quoted prices in active markets </w:t>
              <w:br/>
              <w:t>(Level 1)</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21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Significant other observable inputs</w:t>
              <w:br/>
              <w:t>(Level 2)</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57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unobservable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3)</w:t>
            </w:r>
          </w:p>
        </w:tc>
        <w:tc>
          <w:tcPr>
            <w:tcW w:w="79" w:type="dxa"/>
            <w:tcBorders/>
            <w:vAlign w:val="center"/>
          </w:tcPr>
          <w:p>
            <w:pPr>
              <w:pStyle w:val="TableContents"/>
              <w:bidi w:val="0"/>
              <w:spacing w:before="0" w:after="283"/>
              <w:jc w:val="center"/>
              <w:rPr/>
            </w:pPr>
            <w:r>
              <w:rPr/>
              <w:t> </w:t>
            </w:r>
          </w:p>
        </w:tc>
      </w:tr>
      <w:tr>
        <w:trPr/>
        <w:tc>
          <w:tcPr>
            <w:tcW w:w="26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40"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15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71"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79" w:type="dxa"/>
            <w:tcBorders/>
            <w:shd w:fill="FFFFFF" w:val="clear"/>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313,401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8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6"/>
        <w:gridCol w:w="60"/>
        <w:gridCol w:w="247"/>
        <w:gridCol w:w="1309"/>
        <w:gridCol w:w="72"/>
        <w:gridCol w:w="72"/>
        <w:gridCol w:w="333"/>
        <w:gridCol w:w="1908"/>
        <w:gridCol w:w="72"/>
        <w:gridCol w:w="72"/>
        <w:gridCol w:w="892"/>
        <w:gridCol w:w="606"/>
        <w:gridCol w:w="72"/>
        <w:gridCol w:w="72"/>
        <w:gridCol w:w="250"/>
        <w:gridCol w:w="1001"/>
        <w:gridCol w:w="81"/>
      </w:tblGrid>
      <w:tr>
        <w:trPr/>
        <w:tc>
          <w:tcPr>
            <w:tcW w:w="30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7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December 31, 2025</w:t>
            </w:r>
          </w:p>
        </w:tc>
        <w:tc>
          <w:tcPr>
            <w:tcW w:w="81" w:type="dxa"/>
            <w:tcBorders/>
            <w:vAlign w:val="center"/>
          </w:tcPr>
          <w:p>
            <w:pPr>
              <w:pStyle w:val="TableContents"/>
              <w:bidi w:val="0"/>
              <w:spacing w:before="0" w:after="283"/>
              <w:jc w:val="center"/>
              <w:rPr/>
            </w:pPr>
            <w:r>
              <w:rPr/>
              <w:t> </w:t>
            </w:r>
          </w:p>
        </w:tc>
      </w:tr>
      <w:tr>
        <w:trPr/>
        <w:tc>
          <w:tcPr>
            <w:tcW w:w="30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Total fair value at </w:t>
              <w:br/>
              <w:t>December 31, 2025</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22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Quoted prices in active markets </w:t>
              <w:br/>
              <w:t>(Level 1)</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49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Significant other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observable inputs</w:t>
              <w:br/>
              <w:t>(Level 2)</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3)</w:t>
            </w:r>
          </w:p>
        </w:tc>
        <w:tc>
          <w:tcPr>
            <w:tcW w:w="81" w:type="dxa"/>
            <w:tcBorders/>
            <w:vAlign w:val="center"/>
          </w:tcPr>
          <w:p>
            <w:pPr>
              <w:pStyle w:val="TableContents"/>
              <w:bidi w:val="0"/>
              <w:spacing w:before="0" w:after="283"/>
              <w:jc w:val="center"/>
              <w:rPr/>
            </w:pPr>
            <w:r>
              <w:rPr/>
              <w:t> </w:t>
            </w:r>
          </w:p>
        </w:tc>
      </w:tr>
      <w:tr>
        <w:trPr/>
        <w:tc>
          <w:tcPr>
            <w:tcW w:w="3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241"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98"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51"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30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908"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0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FFFFFF" w:val="clear"/>
            <w:vAlign w:val="center"/>
          </w:tcPr>
          <w:p>
            <w:pPr>
              <w:pStyle w:val="TableContents"/>
              <w:bidi w:val="0"/>
              <w:spacing w:before="0" w:after="283"/>
              <w:jc w:val="left"/>
              <w:rPr/>
            </w:pPr>
            <w:r>
              <w:rPr/>
              <w:t> </w:t>
            </w:r>
          </w:p>
        </w:tc>
      </w:tr>
      <w:tr>
        <w:trPr/>
        <w:tc>
          <w:tcPr>
            <w:tcW w:w="30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908"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0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Derivative securities liabilities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9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81" w:type="dxa"/>
            <w:tcBorders/>
            <w:shd w:fill="FFFFFF" w:val="clear"/>
            <w:vAlign w:val="center"/>
          </w:tcPr>
          <w:p>
            <w:pPr>
              <w:pStyle w:val="TableContents"/>
              <w:bidi w:val="0"/>
              <w:spacing w:before="0" w:after="283"/>
              <w:jc w:val="left"/>
              <w:rPr/>
            </w:pPr>
            <w:r>
              <w:rPr/>
              <w:t> </w:t>
            </w:r>
          </w:p>
        </w:tc>
      </w:tr>
      <w:tr>
        <w:trPr/>
        <w:tc>
          <w:tcPr>
            <w:tcW w:w="30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81" w:type="dxa"/>
            <w:tcBorders/>
            <w:shd w:fill="CCEEFF" w:val="clear"/>
            <w:vAlign w:val="center"/>
          </w:tcPr>
          <w:p>
            <w:pPr>
              <w:pStyle w:val="TableContents"/>
              <w:bidi w:val="0"/>
              <w:spacing w:before="0" w:after="283"/>
              <w:jc w:val="left"/>
              <w:rPr/>
            </w:pPr>
            <w:r>
              <w:rPr/>
              <w:t> </w:t>
            </w:r>
          </w:p>
        </w:tc>
      </w:tr>
      <w:tr>
        <w:trPr/>
        <w:tc>
          <w:tcPr>
            <w:tcW w:w="30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444,497</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Feature Liability -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 liability associated with the Company’s Convertible Notes is measured at fair value using a Black-Scholes option pricing model and is classified within Level 3 of the fair value hierarchy due to the use of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used in determining the fair value of the conversion feature liability are presented in the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Key Input Measurement For Fair Value</w:t>
      </w:r>
    </w:p>
    <w:tbl>
      <w:tblPr>
        <w:tblW w:w="6585" w:type="dxa"/>
        <w:jc w:val="left"/>
        <w:tblInd w:w="0" w:type="dxa"/>
        <w:tblLayout w:type="fixed"/>
        <w:tblCellMar>
          <w:top w:w="0" w:type="dxa"/>
          <w:left w:w="0" w:type="dxa"/>
          <w:bottom w:w="0" w:type="dxa"/>
          <w:right w:w="0" w:type="dxa"/>
        </w:tblCellMar>
      </w:tblPr>
      <w:tblGrid>
        <w:gridCol w:w="2960"/>
        <w:gridCol w:w="60"/>
        <w:gridCol w:w="283"/>
        <w:gridCol w:w="1132"/>
        <w:gridCol w:w="60"/>
        <w:gridCol w:w="60"/>
        <w:gridCol w:w="391"/>
        <w:gridCol w:w="1564"/>
        <w:gridCol w:w="7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December 31, 2025</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Strike price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 (as a percentage)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Remaining term (in years)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 (as a percentage)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Convertible Note Conversion Feature Liability as of June 30, 2026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Roll Forward Convertible Notes</w:t>
      </w:r>
    </w:p>
    <w:tbl>
      <w:tblPr>
        <w:tblW w:w="5234" w:type="dxa"/>
        <w:jc w:val="left"/>
        <w:tblInd w:w="0" w:type="dxa"/>
        <w:tblLayout w:type="fixed"/>
        <w:tblCellMar>
          <w:top w:w="0" w:type="dxa"/>
          <w:left w:w="0" w:type="dxa"/>
          <w:bottom w:w="0" w:type="dxa"/>
          <w:right w:w="0" w:type="dxa"/>
        </w:tblCellMar>
      </w:tblPr>
      <w:tblGrid>
        <w:gridCol w:w="3095"/>
        <w:gridCol w:w="60"/>
        <w:gridCol w:w="354"/>
        <w:gridCol w:w="1615"/>
        <w:gridCol w:w="110"/>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Conversion feature</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 liability</w:t>
            </w:r>
          </w:p>
        </w:tc>
        <w:tc>
          <w:tcPr>
            <w:tcW w:w="110" w:type="dxa"/>
            <w:tcBorders/>
            <w:vAlign w:val="center"/>
          </w:tcPr>
          <w:p>
            <w:pPr>
              <w:pStyle w:val="TableContents"/>
              <w:bidi w:val="0"/>
              <w:spacing w:before="0" w:after="283"/>
              <w:jc w:val="center"/>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Gain on debt extinguishment</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Balance at June 30, 2026</w:t>
            </w:r>
          </w:p>
        </w:tc>
        <w:tc>
          <w:tcPr>
            <w:tcW w:w="60" w:type="dxa"/>
            <w:tcBorders/>
            <w:shd w:fill="FFFFFF" w:val="clear"/>
            <w:vAlign w:val="center"/>
          </w:tcPr>
          <w:p>
            <w:pPr>
              <w:pStyle w:val="TableContents"/>
              <w:bidi w:val="0"/>
              <w:spacing w:before="0" w:after="283"/>
              <w:jc w:val="left"/>
              <w:rPr/>
            </w:pPr>
            <w:r>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Securities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outstanding Bitcoin put option contracts with a fair value liability of $0.4 million. During the six months ended June 30, 2026, all outstanding Bitcoin put option contracts were exercised, expired, or otherwise settled, and the Company recognized a realized loss of $0.9 million related to these contracts. As of June 30, 2026, the Company had no outstanding derivative securities liabilities.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board of directors of the Company (the “Board of Directors”) authorized a share repurchase program providing for the repurchase of up to $100.0 million of the Company’s Common Stock. During the three months and six months ended June 30, 2026, the Company repurchased 2,570,974 and 5,238,030 shares of Common Stock for $4.8 million and $12.8 million respectively, including commissions. During the three months ended June 30, 2026, the Company repurchased shares at an average price of $1.85 per share. As of June 30, 2026, approximately $84.4 million remained available under the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CFO Silvia Acquisition, the Company recognized an equity-classified contingent consideration with a fair value of $5.9 million, which was recorded within additional paid-in capital as part of the purchase consideration. The arrangement provides for the issuance of a fixed number of the Company’s common shares upon the achievement of specified market-based conditions. See Note 3, CFO Silvia Acquisition,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and diluted net loss per share for the three and six months ended June 30, 2026 is as follows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Computation of Basic and Diluted Net Loss per Share</w:t>
      </w:r>
    </w:p>
    <w:tbl>
      <w:tblPr>
        <w:tblW w:w="10205" w:type="dxa"/>
        <w:jc w:val="left"/>
        <w:tblInd w:w="0" w:type="dxa"/>
        <w:tblLayout w:type="fixed"/>
        <w:tblCellMar>
          <w:top w:w="0" w:type="dxa"/>
          <w:left w:w="0" w:type="dxa"/>
          <w:bottom w:w="0" w:type="dxa"/>
          <w:right w:w="0" w:type="dxa"/>
        </w:tblCellMar>
      </w:tblPr>
      <w:tblGrid>
        <w:gridCol w:w="7757"/>
        <w:gridCol w:w="60"/>
        <w:gridCol w:w="256"/>
        <w:gridCol w:w="2020"/>
        <w:gridCol w:w="112"/>
      </w:tblGrid>
      <w:tr>
        <w:trPr/>
        <w:tc>
          <w:tcPr>
            <w:tcW w:w="77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7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12" w:type="dxa"/>
            <w:tcBorders/>
            <w:vAlign w:val="center"/>
          </w:tcPr>
          <w:p>
            <w:pPr>
              <w:pStyle w:val="TableContents"/>
              <w:bidi w:val="0"/>
              <w:spacing w:before="0" w:after="283"/>
              <w:jc w:val="left"/>
              <w:rPr/>
            </w:pPr>
            <w:r>
              <w:rPr/>
              <w:t> </w:t>
            </w:r>
          </w:p>
        </w:tc>
      </w:tr>
      <w:tr>
        <w:trPr/>
        <w:tc>
          <w:tcPr>
            <w:tcW w:w="775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57"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(65,047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5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57"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89,394,753</w:t>
            </w:r>
          </w:p>
        </w:tc>
        <w:tc>
          <w:tcPr>
            <w:tcW w:w="112" w:type="dxa"/>
            <w:tcBorders/>
            <w:shd w:fill="FFFFFF" w:val="clear"/>
            <w:vAlign w:val="center"/>
          </w:tcPr>
          <w:p>
            <w:pPr>
              <w:pStyle w:val="TableContents"/>
              <w:bidi w:val="0"/>
              <w:spacing w:before="0" w:after="283"/>
              <w:jc w:val="left"/>
              <w:rPr/>
            </w:pPr>
            <w:r>
              <w:rPr/>
              <w:t> </w:t>
            </w:r>
          </w:p>
        </w:tc>
      </w:tr>
      <w:tr>
        <w:trPr/>
        <w:tc>
          <w:tcPr>
            <w:tcW w:w="775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3"/>
        <w:gridCol w:w="60"/>
        <w:gridCol w:w="238"/>
        <w:gridCol w:w="1872"/>
        <w:gridCol w:w="112"/>
      </w:tblGrid>
      <w:tr>
        <w:trPr/>
        <w:tc>
          <w:tcPr>
            <w:tcW w:w="79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1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12" w:type="dxa"/>
            <w:tcBorders/>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8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(172,806</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8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86,164,488</w:t>
            </w:r>
          </w:p>
        </w:tc>
        <w:tc>
          <w:tcPr>
            <w:tcW w:w="112"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following potentially dilutive securities were excluded from the computation of diluted net loss per share because their inclusion would have been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Computation of Net Loss Per Common Stock</w:t>
      </w:r>
    </w:p>
    <w:tbl>
      <w:tblPr>
        <w:tblW w:w="4959" w:type="dxa"/>
        <w:jc w:val="left"/>
        <w:tblInd w:w="0" w:type="dxa"/>
        <w:tblLayout w:type="fixed"/>
        <w:tblCellMar>
          <w:top w:w="0" w:type="dxa"/>
          <w:left w:w="0" w:type="dxa"/>
          <w:bottom w:w="0" w:type="dxa"/>
          <w:right w:w="0" w:type="dxa"/>
        </w:tblCellMar>
      </w:tblPr>
      <w:tblGrid>
        <w:gridCol w:w="1985"/>
        <w:gridCol w:w="60"/>
        <w:gridCol w:w="146"/>
        <w:gridCol w:w="2693"/>
        <w:gridCol w:w="7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12,852,500</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RSUs (See Note 11)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14,342,256</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7,659,240</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3" w:type="dxa"/>
            <w:tcBorders/>
            <w:shd w:fill="FFFFFF" w:val="clear"/>
            <w:vAlign w:val="center"/>
          </w:tcPr>
          <w:p>
            <w:pPr>
              <w:pStyle w:val="TableContents"/>
              <w:bidi w:val="0"/>
              <w:spacing w:before="0" w:after="283"/>
              <w:jc w:val="right"/>
              <w:rPr/>
            </w:pPr>
            <w:r>
              <w:rPr/>
              <w:t>34,853,996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and dilutive net income per common unit for the period from June 10, 2025 (inception) through June 30, 2025 is as follows (In thousands, except for share):</w:t>
      </w:r>
    </w:p>
    <w:p>
      <w:pPr>
        <w:pStyle w:val="TextBody"/>
        <w:bidi w:val="0"/>
        <w:spacing w:before="0" w:after="0"/>
        <w:ind w:left="0" w:right="0" w:hanging="0"/>
        <w:jc w:val="both"/>
        <w:rPr>
          <w:caps w:val="false"/>
          <w:smallCaps w:val="false"/>
        </w:rPr>
      </w:pPr>
      <w:r>
        <w:rPr>
          <w:caps w:val="false"/>
          <w:smallCaps w:val="false"/>
        </w:rPr>
        <w:t> </w:t>
      </w:r>
    </w:p>
    <w:tbl>
      <w:tblPr>
        <w:tblW w:w="9074" w:type="dxa"/>
        <w:jc w:val="left"/>
        <w:tblInd w:w="0" w:type="dxa"/>
        <w:tblLayout w:type="fixed"/>
        <w:tblCellMar>
          <w:top w:w="0" w:type="dxa"/>
          <w:left w:w="0" w:type="dxa"/>
          <w:bottom w:w="0" w:type="dxa"/>
          <w:right w:w="0" w:type="dxa"/>
        </w:tblCellMar>
      </w:tblPr>
      <w:tblGrid>
        <w:gridCol w:w="6995"/>
        <w:gridCol w:w="60"/>
        <w:gridCol w:w="214"/>
        <w:gridCol w:w="1695"/>
        <w:gridCol w:w="110"/>
      </w:tblGrid>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Period</w:t>
            </w:r>
          </w:p>
        </w:tc>
        <w:tc>
          <w:tcPr>
            <w:tcW w:w="11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from June 10,2025</w:t>
            </w:r>
          </w:p>
          <w:p>
            <w:pPr>
              <w:pStyle w:val="TableContents"/>
              <w:bidi w:val="0"/>
              <w:spacing w:before="0" w:after="283"/>
              <w:jc w:val="center"/>
              <w:rPr>
                <w:rFonts w:ascii="Times New Roman;Times;Serif" w:hAnsi="Times New Roman;Times;Serif"/>
                <w:b/>
              </w:rPr>
            </w:pPr>
            <w:r>
              <w:rPr>
                <w:rFonts w:ascii="Times New Roman;Times;Serif" w:hAnsi="Times New Roman;Times;Serif"/>
                <w:b/>
              </w:rPr>
              <w:t>through</w:t>
            </w:r>
          </w:p>
        </w:tc>
        <w:tc>
          <w:tcPr>
            <w:tcW w:w="11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w:t>
            </w:r>
            <w:r>
              <w:rPr>
                <w:rFonts w:ascii="Times New Roman;Times;Serif" w:hAnsi="Times New Roman;Times;Serif"/>
                <w:b/>
                <w:sz w:val="20"/>
              </w:rPr>
              <w:t>5</w:t>
            </w:r>
          </w:p>
        </w:tc>
        <w:tc>
          <w:tcPr>
            <w:tcW w:w="11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Basic EPS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outstanding-basic</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3,809,524</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per common stock, basic</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695" w:type="dxa"/>
            <w:tcBorders/>
            <w:shd w:fill="CCEEFF" w:val="clear"/>
            <w:vAlign w:val="center"/>
          </w:tcPr>
          <w:p>
            <w:pPr>
              <w:pStyle w:val="TableContents"/>
              <w:bidi w:val="0"/>
              <w:spacing w:before="0" w:after="283"/>
              <w:jc w:val="right"/>
              <w:rPr/>
            </w:pPr>
            <w:r>
              <w:rPr/>
              <w:t>24,618</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change in fair value of conversion feature</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diluted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14,288</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outstanding-basic</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3,809,524</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 Preferred Units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24,595,238</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outstanding-diluted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28,404,762</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per common stock, diluted</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2025 Equity Incentive Plan (the “2025 Equity Plan”) is described in Note 13 to the consolidated financial statements included in the Company’s Annual Report on Form 10-K for the year ended December 31, 2025. The Company has elected to account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Time-based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granted 3,353,832 time-based restricted stock units (“RSUs”) under the 2025 Equity Plan to certain employees and service providers with aggregate grant-date fair value of $7.7 million. The awards generally vest over a service period ranging from 1 to 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RSUs subject solely to time-based vesting conditions, grant-date fair value is determined based on the closing market price of the Company’s common stock on the grant date. During the six months ended June 30, 2026, grant-date stock prices used to value such awards had a weighted average grant date fair value of $2.27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schedule summarizes activity related to time-based RSUs for the six months ended June 30,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Time Based RSU</w:t>
      </w:r>
    </w:p>
    <w:tbl>
      <w:tblPr>
        <w:tblW w:w="8403" w:type="dxa"/>
        <w:jc w:val="left"/>
        <w:tblInd w:w="0" w:type="dxa"/>
        <w:tblLayout w:type="fixed"/>
        <w:tblCellMar>
          <w:top w:w="0" w:type="dxa"/>
          <w:left w:w="0" w:type="dxa"/>
          <w:bottom w:w="0" w:type="dxa"/>
          <w:right w:w="0" w:type="dxa"/>
        </w:tblCellMar>
      </w:tblPr>
      <w:tblGrid>
        <w:gridCol w:w="3500"/>
        <w:gridCol w:w="60"/>
        <w:gridCol w:w="122"/>
        <w:gridCol w:w="2162"/>
        <w:gridCol w:w="95"/>
        <w:gridCol w:w="60"/>
        <w:gridCol w:w="562"/>
        <w:gridCol w:w="1767"/>
        <w:gridCol w:w="75"/>
      </w:tblGrid>
      <w:tr>
        <w:trPr/>
        <w:tc>
          <w:tcPr>
            <w:tcW w:w="35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 of time-based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Restricted 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 Fair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1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3,353,832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(1,454,365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June 30, 2026</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1,917,980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approximately $2.0 million and $4.2 million, respectively, in share-based compensation expense from time-based RSUs. As of June 30, 2026, unrecognized compensation cost related to unvested time-based RSUs was $3.5 million, which is expected to be recognized over a weighted average remaining period of 1.2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Market-based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CFO Silvia Acquisition, the Company granted Shain Noor the right to receive up to 4,356,450 shares of the Company’s common stock. The award is subject to both continued service and market condition requiring the Company’s common stock to achieve a trading price of $9.00 per share. Because the award is contingent upon future employment and achievement of the market condition, it is accounted for as a share-based payment award under ASC 718 and is excluded from the purchase consideration transferred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had a grant-date fair value of $5.1 million, which was determined using a Monte Carlo valuation model. The valuation incorporated assumptions regarding the Company’s stock price, expected volatility, risk-free interest rate, expected term, and expected dividend yield. Expected volatility was based on the historical volatility of the Company’s common stock, and the risk-free interest rate was based on the U.S. Treasury yield curve in effect on the grant date for a term corresponding to the expected term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key assumptions used in the Monte Carlo valuation of market-based awards granted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Key Assumptions Used in the Valuation of Such Awards Granted</w:t>
      </w:r>
    </w:p>
    <w:tbl>
      <w:tblPr>
        <w:tblW w:w="2810" w:type="dxa"/>
        <w:jc w:val="left"/>
        <w:tblInd w:w="0" w:type="dxa"/>
        <w:tblLayout w:type="fixed"/>
        <w:tblCellMar>
          <w:top w:w="0" w:type="dxa"/>
          <w:left w:w="0" w:type="dxa"/>
          <w:bottom w:w="28" w:type="dxa"/>
          <w:right w:w="0" w:type="dxa"/>
        </w:tblCellMar>
      </w:tblPr>
      <w:tblGrid>
        <w:gridCol w:w="2045"/>
        <w:gridCol w:w="60"/>
        <w:gridCol w:w="125"/>
        <w:gridCol w:w="380"/>
        <w:gridCol w:w="200"/>
      </w:tblGrid>
      <w:tr>
        <w:trPr/>
        <w:tc>
          <w:tcPr>
            <w:tcW w:w="2045" w:type="dxa"/>
            <w:tcBorders>
              <w:bottom w:val="single" w:sz="8" w:space="0" w:color="000000"/>
            </w:tcBorders>
            <w:vAlign w:val="center"/>
          </w:tcPr>
          <w:p>
            <w:pPr>
              <w:pStyle w:val="TableContents"/>
              <w:bidi w:val="0"/>
              <w:spacing w:before="0" w:after="283"/>
              <w:jc w:val="center"/>
              <w:rPr>
                <w:b/>
                <w:sz w:val="20"/>
              </w:rPr>
            </w:pPr>
            <w:r>
              <w:rPr>
                <w:b/>
                <w:sz w:val="20"/>
              </w:rPr>
              <w:t>Assumption</w:t>
            </w:r>
          </w:p>
        </w:tc>
        <w:tc>
          <w:tcPr>
            <w:tcW w:w="60" w:type="dxa"/>
            <w:tcBorders/>
            <w:tcMar>
              <w:bottom w:w="0" w:type="dxa"/>
            </w:tcMar>
            <w:vAlign w:val="center"/>
          </w:tcPr>
          <w:p>
            <w:pPr>
              <w:pStyle w:val="TableContents"/>
              <w:bidi w:val="0"/>
              <w:spacing w:before="0" w:after="283"/>
              <w:jc w:val="left"/>
              <w:rPr/>
            </w:pPr>
            <w:r>
              <w:rPr/>
              <w:t> </w:t>
            </w:r>
          </w:p>
        </w:tc>
        <w:tc>
          <w:tcPr>
            <w:tcW w:w="505" w:type="dxa"/>
            <w:gridSpan w:val="2"/>
            <w:tcBorders>
              <w:bottom w:val="single" w:sz="8" w:space="0" w:color="000000"/>
            </w:tcBorders>
            <w:vAlign w:val="center"/>
          </w:tcPr>
          <w:p>
            <w:pPr>
              <w:pStyle w:val="TableContents"/>
              <w:bidi w:val="0"/>
              <w:spacing w:before="0" w:after="283"/>
              <w:jc w:val="center"/>
              <w:rPr>
                <w:b/>
                <w:sz w:val="20"/>
              </w:rPr>
            </w:pPr>
            <w:r>
              <w:rPr>
                <w:b/>
                <w:sz w:val="20"/>
              </w:rPr>
              <w:t>Input</w:t>
            </w:r>
          </w:p>
        </w:tc>
        <w:tc>
          <w:tcPr>
            <w:tcW w:w="200" w:type="dxa"/>
            <w:tcBorders/>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sz w:val="20"/>
              </w:rPr>
            </w:pPr>
            <w:r>
              <w:rPr>
                <w:sz w:val="20"/>
              </w:rPr>
              <w:t>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1.90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both"/>
              <w:rPr>
                <w:sz w:val="20"/>
              </w:rPr>
            </w:pPr>
            <w:r>
              <w:rPr>
                <w:sz w:val="20"/>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70.0</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045" w:type="dxa"/>
            <w:tcBorders/>
            <w:shd w:fill="CCEEFF" w:val="clear"/>
            <w:tcMar>
              <w:bottom w:w="0" w:type="dxa"/>
            </w:tcMar>
            <w:vAlign w:val="center"/>
          </w:tcPr>
          <w:p>
            <w:pPr>
              <w:pStyle w:val="TableContents"/>
              <w:bidi w:val="0"/>
              <w:spacing w:before="0" w:after="283"/>
              <w:jc w:val="left"/>
              <w:rPr>
                <w:sz w:val="20"/>
              </w:rPr>
            </w:pPr>
            <w:r>
              <w:rPr>
                <w:sz w:val="20"/>
              </w:rPr>
              <w:t>Risk-free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3.94</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045" w:type="dxa"/>
            <w:tcBorders/>
            <w:shd w:fill="FFFFFF" w:val="clear"/>
            <w:tcMar>
              <w:bottom w:w="0" w:type="dxa"/>
            </w:tcMar>
            <w:vAlign w:val="center"/>
          </w:tcPr>
          <w:p>
            <w:pPr>
              <w:pStyle w:val="TableContents"/>
              <w:bidi w:val="0"/>
              <w:spacing w:before="0" w:after="283"/>
              <w:jc w:val="both"/>
              <w:rPr>
                <w:sz w:val="20"/>
              </w:rPr>
            </w:pPr>
            <w:r>
              <w:rPr>
                <w:sz w:val="20"/>
              </w:rPr>
              <w:t>Expected 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5.00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sz w:val="20"/>
              </w:rPr>
            </w:pPr>
            <w:r>
              <w:rPr>
                <w:sz w:val="20"/>
              </w:rPr>
              <w:t>Expected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0.00</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related to market-based RSUs for the six months ended June 30,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Market-based RSU</w:t>
      </w:r>
    </w:p>
    <w:tbl>
      <w:tblPr>
        <w:tblW w:w="8668" w:type="dxa"/>
        <w:jc w:val="left"/>
        <w:tblInd w:w="0" w:type="dxa"/>
        <w:tblLayout w:type="fixed"/>
        <w:tblCellMar>
          <w:top w:w="0" w:type="dxa"/>
          <w:left w:w="0" w:type="dxa"/>
          <w:bottom w:w="0" w:type="dxa"/>
          <w:right w:w="0" w:type="dxa"/>
        </w:tblCellMar>
      </w:tblPr>
      <w:tblGrid>
        <w:gridCol w:w="3500"/>
        <w:gridCol w:w="60"/>
        <w:gridCol w:w="133"/>
        <w:gridCol w:w="2451"/>
        <w:gridCol w:w="60"/>
        <w:gridCol w:w="60"/>
        <w:gridCol w:w="562"/>
        <w:gridCol w:w="1767"/>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 of market-based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 Fair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4,356,450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June 30, 2026</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4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12,356,450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market condition associated with the award had not been satisfied and, accordingly, no shares subject to the award had vested.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approximately $1.7 million and $3.1 million, respectively, in share-based compensation expense from market-based RSUs. As of June 30, 2026, unrecognized compensation cost related to unvested market-based RSUs was $18.1 million. The remaining compensation cost is expected to be recognized over the weighted average remaining period of 3.0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for the six months ended June 30, 2026 and for the period from June 10, 2025 through June 30, 2025 was approximately 1.43% and (0)%, respectively. During the second quarter ended June 30, 2026, the Company recognized a discrete income tax benefit of approximately $2.5 million related to the partial release of its valuation allowance on deferred tax assets. The valuation allowance release was supported by additional objectively verifiable positive evidence resulting from the scheduled reversal of acquisition-related taxable temporary differences generated by the CFO Silvia Acquisition completed during the second quarter of 2026. The discrete income tax benefit was the primary driver of the Company’s effective tax rates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realizability of deferred tax assets on a quarterly basis and records a valuation allowance when it is more-likely-than-not that some portion or all of its deferred tax assets will not be realized. As of June 30, 2026, the Company continued to maintain a valuation allowance against deferred tax assets that management has concluded are not more-likely-than-not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no unrecognized tax benefits and had not accrued any interest or penalties related to uncertain tax positions.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and Inflection Points, an entity under common control, entered into an Investment Consulting and Marketing Services Agreement (the “Services Agreement”). Pursuant to the Services Agreement, Inflection Points agreed to provide certain services to the Company. The services shall be provided pursuant to statements of work. The Services Agreement has a term of four (4) years and will automatically renew for a subsequent one (1) year term, unless either party gives the other party at least sixty (60) days’ prior written notice of non-renewal or otherwise terminates the Services Agreement or any statement of work as set forth therein. In consideration, Inflection Points received an aggregate of 10,000,000 shares of the Company’s stock on December 5, 2025. As of June 30, 2026, these shares have been issued and are outstanding.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and Seller Earnout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Sponsor Earnout Agreement and Seller Earnout Agreement (the “Agreements”) entered into on December 3, 2025, 8,333,333 shares and 9,500,000 shares of the Company’s Common Stock, respectively, remain subject to vesting and transfer restrictions. The terms of the Agreements are described in Note 14 to the consolidated financial statements included in the Company’s Annual Report on Form 10-K for the year ended December 31, 2025. As of June 30, 2026, no vesting events had occurred under either arrangement and the related shares remained subject to the applicable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has been identified as the chief operating decision maker (“CODM”). The CODM reviews financial information on a consolidated basis for purposes of assessing performance, allocating resources, and making operating decisions. Accordingly, management has determined that the Company operates as one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primarily evaluates performance using consolidated net loss, cash flows, and liquidity measures. The CODM also reviews significant segment expenses that are regularly provided to the CODM, as presented in the table below to manage liquidity and assess progress against the Company’s operating plan. Total segment assets are consistent with total assets reported in the unaudited condensed consolidated balance sheets. The CODM also monitors the fair market value of the Company’s Bitcoin holdings in evaluating capital allocation and treasury management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is focused on executing its growth strategy and is not currently generating significant revenue, resource allocation decisions are primarily based on liquidity management, operating expenditure, and capital allocation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significant segment expenses (in thousands):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Significant Segment Expenses</w:t>
      </w:r>
    </w:p>
    <w:tbl>
      <w:tblPr>
        <w:tblW w:w="10205" w:type="dxa"/>
        <w:jc w:val="left"/>
        <w:tblInd w:w="0" w:type="dxa"/>
        <w:tblLayout w:type="fixed"/>
        <w:tblCellMar>
          <w:top w:w="0" w:type="dxa"/>
          <w:left w:w="0" w:type="dxa"/>
          <w:bottom w:w="0" w:type="dxa"/>
          <w:right w:w="0" w:type="dxa"/>
        </w:tblCellMar>
      </w:tblPr>
      <w:tblGrid>
        <w:gridCol w:w="3382"/>
        <w:gridCol w:w="60"/>
        <w:gridCol w:w="257"/>
        <w:gridCol w:w="1392"/>
        <w:gridCol w:w="95"/>
        <w:gridCol w:w="60"/>
        <w:gridCol w:w="230"/>
        <w:gridCol w:w="1246"/>
        <w:gridCol w:w="95"/>
        <w:gridCol w:w="60"/>
        <w:gridCol w:w="614"/>
        <w:gridCol w:w="2600"/>
        <w:gridCol w:w="114"/>
      </w:tblGrid>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 June 10, 2025 (Inception) through</w:t>
            </w:r>
          </w:p>
        </w:tc>
        <w:tc>
          <w:tcPr>
            <w:tcW w:w="114" w:type="dxa"/>
            <w:tcBorders/>
            <w:vAlign w:val="center"/>
          </w:tcPr>
          <w:p>
            <w:pPr>
              <w:pStyle w:val="TableContents"/>
              <w:bidi w:val="0"/>
              <w:spacing w:before="0" w:after="283"/>
              <w:jc w:val="left"/>
              <w:rPr/>
            </w:pPr>
            <w:r>
              <w:rPr/>
              <w:t> </w:t>
            </w:r>
          </w:p>
        </w:tc>
      </w:tr>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4" w:type="dxa"/>
            <w:tcBorders/>
            <w:vAlign w:val="center"/>
          </w:tcPr>
          <w:p>
            <w:pPr>
              <w:pStyle w:val="TableContents"/>
              <w:bidi w:val="0"/>
              <w:spacing w:before="0" w:after="283"/>
              <w:jc w:val="left"/>
              <w:rPr/>
            </w:pPr>
            <w:r>
              <w:rPr/>
              <w:t> </w:t>
            </w:r>
          </w:p>
        </w:tc>
      </w:tr>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392"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b/>
              </w:rPr>
            </w:pPr>
            <w:r>
              <w:rPr>
                <w:b/>
              </w:rPr>
              <w:t>$</w:t>
            </w:r>
          </w:p>
        </w:tc>
        <w:tc>
          <w:tcPr>
            <w:tcW w:w="2600" w:type="dxa"/>
            <w:tcBorders/>
            <w:shd w:fill="CCEEFF" w:val="clear"/>
            <w:vAlign w:val="center"/>
          </w:tcPr>
          <w:p>
            <w:pPr>
              <w:pStyle w:val="TableContents"/>
              <w:bidi w:val="0"/>
              <w:spacing w:before="0" w:after="283"/>
              <w:jc w:val="right"/>
              <w:rPr>
                <w:b/>
              </w:rPr>
            </w:pPr>
            <w:r>
              <w:rPr>
                <w:b/>
              </w:rPr>
              <w:t>-</w:t>
            </w:r>
          </w:p>
        </w:tc>
        <w:tc>
          <w:tcPr>
            <w:tcW w:w="114" w:type="dxa"/>
            <w:tcBorders/>
            <w:shd w:fill="CCEEFF" w:val="clear"/>
            <w:vAlign w:val="center"/>
          </w:tcPr>
          <w:p>
            <w:pPr>
              <w:pStyle w:val="TableContents"/>
              <w:bidi w:val="0"/>
              <w:spacing w:before="0" w:after="283"/>
              <w:jc w:val="left"/>
              <w:rPr/>
            </w:pPr>
            <w:r>
              <w:rPr/>
              <w:t> </w:t>
            </w:r>
          </w:p>
        </w:tc>
      </w:tr>
      <w:tr>
        <w:trPr/>
        <w:tc>
          <w:tcPr>
            <w:tcW w:w="33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3382" w:type="dxa"/>
            <w:tcBorders/>
            <w:shd w:fill="FFFFFF" w:val="clear"/>
            <w:vAlign w:val="center"/>
          </w:tcPr>
          <w:p>
            <w:pPr>
              <w:pStyle w:val="TableContents"/>
              <w:bidi w:val="0"/>
              <w:spacing w:before="0" w:after="283"/>
              <w:jc w:val="left"/>
              <w:rPr/>
            </w:pPr>
            <w:r>
              <w:rPr/>
              <w:t>Payroll expenses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1,674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2,683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pPr>
            <w:r>
              <w:rPr/>
              <w:t>One-time bonus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b/>
              </w:rPr>
            </w:pPr>
            <w:r>
              <w:rPr>
                <w:b/>
              </w:rPr>
              <w:t>-</w:t>
            </w:r>
          </w:p>
        </w:tc>
        <w:tc>
          <w:tcPr>
            <w:tcW w:w="114" w:type="dxa"/>
            <w:tcBorders/>
            <w:shd w:fill="CCEEFF" w:val="clear"/>
            <w:vAlign w:val="center"/>
          </w:tcPr>
          <w:p>
            <w:pPr>
              <w:pStyle w:val="TableContents"/>
              <w:bidi w:val="0"/>
              <w:spacing w:before="0" w:after="283"/>
              <w:jc w:val="left"/>
              <w:rPr/>
            </w:pPr>
            <w:r>
              <w:rPr/>
              <w:t> </w:t>
            </w:r>
          </w:p>
        </w:tc>
      </w:tr>
      <w:tr>
        <w:trPr/>
        <w:tc>
          <w:tcPr>
            <w:tcW w:w="3382"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1,210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1,249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pPr>
            <w:r>
              <w:rPr/>
              <w:t>Other operating expenses(1)</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3,420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6,624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8</w:t>
            </w:r>
          </w:p>
        </w:tc>
        <w:tc>
          <w:tcPr>
            <w:tcW w:w="114" w:type="dxa"/>
            <w:tcBorders/>
            <w:shd w:fill="CCEEFF" w:val="clear"/>
            <w:vAlign w:val="center"/>
          </w:tcPr>
          <w:p>
            <w:pPr>
              <w:pStyle w:val="TableContents"/>
              <w:bidi w:val="0"/>
              <w:spacing w:before="0" w:after="283"/>
              <w:jc w:val="left"/>
              <w:rPr/>
            </w:pPr>
            <w:r>
              <w:rPr/>
              <w:t> </w:t>
            </w:r>
          </w:p>
        </w:tc>
      </w:tr>
      <w:tr>
        <w:trPr/>
        <w:tc>
          <w:tcPr>
            <w:tcW w:w="3382"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pPr>
            <w:r>
              <w:rPr/>
              <w:t>3,723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pPr>
            <w:r>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3382"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pPr>
            <w:r>
              <w:rPr/>
              <w:t>15,027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pPr>
            <w:r>
              <w:rPr/>
              <w:t>22,819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(14,990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(22,781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(8</w:t>
            </w:r>
          </w:p>
        </w:tc>
        <w:tc>
          <w:tcPr>
            <w:tcW w:w="114" w:type="dxa"/>
            <w:tcBorders/>
            <w:shd w:fill="CCEEFF" w:val="clear"/>
            <w:vAlign w:val="center"/>
          </w:tcPr>
          <w:p>
            <w:pPr>
              <w:pStyle w:val="TableContents"/>
              <w:bidi w:val="0"/>
              <w:spacing w:before="0" w:after="283"/>
              <w:jc w:val="left"/>
              <w:rPr/>
            </w:pPr>
            <w:r>
              <w:rPr/>
              <w:t>)</w:t>
            </w:r>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gain on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(154,829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14,296</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conversion feature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put option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10,330</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(52,561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24,626</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(67,551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24,618</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left"/>
              <w:rPr>
                <w:sz w:val="4"/>
                <w:szCs w:val="4"/>
              </w:rPr>
            </w:pPr>
            <w:r>
              <w:rPr>
                <w:sz w:val="4"/>
                <w:szCs w:val="4"/>
              </w:rPr>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(65,047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(172,806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24,618</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245"/>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other operating expenses such as professional fees, insurance, rent, and utility expenses.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office facility under a month-to-month operating lease arrangement. The Company has elected the short-term lease practical expedient under ASC 842 for this lease and therefore does not recognize a right-of-use asset or lease liability on the unaudited condensed consolidated balance sheet for this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this month-to-month lease is recognized on a straight-line basis and was $20 per month for the period from January 2026 through June 2026. Because the lease is cancellable at any time with no significant penalty, the Company is not committed to future minimum lease payments beyond the monthly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Studio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new operating lease agreement for studio space. The lease has an initial term of 45 months, commencing February 1, 2026 and expiring October 31, 2029. The lease requires monthly base rent payments of $27 with a three-month rent abatement of $82. The Company does not have an option to extend the lease term or to purchase the leased property. The lease contains fees for cleaning services, utilities, building amenities, and other operating items that are non-lease components. These variable lease payments are recognized in the period incurred rather than included in the lease liability, with the Company recording an operating expense when such amounts arise. The Company has recognized a right-of-use asset and lease liability on the unaudited condensed consolidated balance sheet for this arrangement.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cost for the three months and six months ended June 30, 2026 and 2025 were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Lease Cost </w:t>
      </w:r>
    </w:p>
    <w:tbl>
      <w:tblPr>
        <w:tblW w:w="6373" w:type="dxa"/>
        <w:jc w:val="left"/>
        <w:tblInd w:w="0" w:type="dxa"/>
        <w:tblLayout w:type="fixed"/>
        <w:tblCellMar>
          <w:top w:w="0" w:type="dxa"/>
          <w:left w:w="0" w:type="dxa"/>
          <w:bottom w:w="0" w:type="dxa"/>
          <w:right w:w="0" w:type="dxa"/>
        </w:tblCellMar>
      </w:tblPr>
      <w:tblGrid>
        <w:gridCol w:w="2000"/>
        <w:gridCol w:w="60"/>
        <w:gridCol w:w="593"/>
        <w:gridCol w:w="1616"/>
        <w:gridCol w:w="60"/>
        <w:gridCol w:w="60"/>
        <w:gridCol w:w="260"/>
        <w:gridCol w:w="1649"/>
        <w:gridCol w:w="75"/>
      </w:tblGrid>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09"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Six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2026</w:t>
            </w:r>
          </w:p>
        </w:tc>
        <w:tc>
          <w:tcPr>
            <w:tcW w:w="75" w:type="dxa"/>
            <w:tcBorders/>
            <w:vAlign w:val="center"/>
          </w:tcPr>
          <w:p>
            <w:pPr>
              <w:pStyle w:val="TableContents"/>
              <w:bidi w:val="0"/>
              <w:spacing w:before="0" w:after="283"/>
              <w:jc w:val="left"/>
              <w:rPr/>
            </w:pPr>
            <w:r>
              <w:rPr/>
              <w:t> </w:t>
            </w:r>
          </w:p>
        </w:tc>
      </w:tr>
      <w:tr>
        <w:trPr/>
        <w:tc>
          <w:tcPr>
            <w:tcW w:w="20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Lease Cost</w:t>
            </w:r>
          </w:p>
        </w:tc>
        <w:tc>
          <w:tcPr>
            <w:tcW w:w="60" w:type="dxa"/>
            <w:tcBorders/>
            <w:vAlign w:val="center"/>
          </w:tcPr>
          <w:p>
            <w:pPr>
              <w:pStyle w:val="TableContents"/>
              <w:bidi w:val="0"/>
              <w:spacing w:before="0" w:after="283"/>
              <w:jc w:val="left"/>
              <w:rPr/>
            </w:pPr>
            <w:r>
              <w:rPr/>
              <w:t> </w:t>
            </w:r>
          </w:p>
        </w:tc>
        <w:tc>
          <w:tcPr>
            <w:tcW w:w="22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cost</w:t>
            </w:r>
          </w:p>
        </w:tc>
        <w:tc>
          <w:tcPr>
            <w:tcW w:w="60"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Short-term lease cost</w:t>
            </w:r>
          </w:p>
        </w:tc>
        <w:tc>
          <w:tcPr>
            <w:tcW w:w="60" w:type="dxa"/>
            <w:tcBorders/>
            <w:shd w:fill="FFFFFF" w:val="clear"/>
            <w:vAlign w:val="center"/>
          </w:tcPr>
          <w:p>
            <w:pPr>
              <w:pStyle w:val="TableContents"/>
              <w:bidi w:val="0"/>
              <w:spacing w:before="0" w:after="283"/>
              <w:jc w:val="left"/>
              <w:rPr/>
            </w:pPr>
            <w:r>
              <w:rPr/>
              <w:t> </w:t>
            </w:r>
          </w:p>
        </w:tc>
        <w:tc>
          <w:tcPr>
            <w:tcW w:w="5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lease cost</w:t>
            </w:r>
          </w:p>
        </w:tc>
        <w:tc>
          <w:tcPr>
            <w:tcW w:w="60" w:type="dxa"/>
            <w:tcBorders/>
            <w:shd w:fill="CCEEFF" w:val="clear"/>
            <w:vAlign w:val="center"/>
          </w:tcPr>
          <w:p>
            <w:pPr>
              <w:pStyle w:val="TableContents"/>
              <w:bidi w:val="0"/>
              <w:spacing w:before="0" w:after="283"/>
              <w:jc w:val="left"/>
              <w:rPr/>
            </w:pPr>
            <w:r>
              <w:rPr/>
              <w:t> </w:t>
            </w:r>
          </w:p>
        </w:tc>
        <w:tc>
          <w:tcPr>
            <w:tcW w:w="5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 and short-term lease cost are recognized on a straight-line basis over the lease term and are included in general and administrative expenses in the unaudited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the Company’s operating lease as of June 30, 2026, is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Supplemental Cash Flows Information Related to Operating Lease</w:t>
      </w:r>
    </w:p>
    <w:tbl>
      <w:tblPr>
        <w:tblW w:w="5545" w:type="dxa"/>
        <w:jc w:val="left"/>
        <w:tblInd w:w="0" w:type="dxa"/>
        <w:tblLayout w:type="fixed"/>
        <w:tblCellMar>
          <w:top w:w="0" w:type="dxa"/>
          <w:left w:w="0" w:type="dxa"/>
          <w:bottom w:w="0" w:type="dxa"/>
          <w:right w:w="0" w:type="dxa"/>
        </w:tblCellMar>
      </w:tblPr>
      <w:tblGrid>
        <w:gridCol w:w="4220"/>
        <w:gridCol w:w="60"/>
        <w:gridCol w:w="238"/>
        <w:gridCol w:w="952"/>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liability, non-current portion</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operating lease liability</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Maturities of Lease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the operating lease as of June 30, 2026, are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Future Minimum Lease Payments Under the Operating Lease </w:t>
      </w:r>
    </w:p>
    <w:tbl>
      <w:tblPr>
        <w:tblW w:w="5550" w:type="dxa"/>
        <w:jc w:val="left"/>
        <w:tblInd w:w="0" w:type="dxa"/>
        <w:tblLayout w:type="fixed"/>
        <w:tblCellMar>
          <w:top w:w="0" w:type="dxa"/>
          <w:left w:w="0" w:type="dxa"/>
          <w:bottom w:w="0" w:type="dxa"/>
          <w:right w:w="0" w:type="dxa"/>
        </w:tblCellMar>
      </w:tblPr>
      <w:tblGrid>
        <w:gridCol w:w="3590"/>
        <w:gridCol w:w="60"/>
        <w:gridCol w:w="358"/>
        <w:gridCol w:w="1432"/>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Operating Leases</w:t>
            </w:r>
          </w:p>
        </w:tc>
        <w:tc>
          <w:tcPr>
            <w:tcW w:w="11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 (remaining six months)</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w:t>
            </w:r>
          </w:p>
        </w:tc>
        <w:tc>
          <w:tcPr>
            <w:tcW w:w="11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present value discount</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liability</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Cash Flow and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and other information related to the Company’s operating lease for the six months ended June 30, 2026, are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Cash Flow Information Related to Operating Lease </w:t>
      </w:r>
    </w:p>
    <w:tbl>
      <w:tblPr>
        <w:tblW w:w="7980" w:type="dxa"/>
        <w:jc w:val="left"/>
        <w:tblInd w:w="0" w:type="dxa"/>
        <w:tblLayout w:type="fixed"/>
        <w:tblCellMar>
          <w:top w:w="0" w:type="dxa"/>
          <w:left w:w="0" w:type="dxa"/>
          <w:bottom w:w="0" w:type="dxa"/>
          <w:right w:w="0" w:type="dxa"/>
        </w:tblCellMar>
      </w:tblPr>
      <w:tblGrid>
        <w:gridCol w:w="6830"/>
        <w:gridCol w:w="60"/>
        <w:gridCol w:w="172"/>
        <w:gridCol w:w="688"/>
        <w:gridCol w:w="23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23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23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paid for amounts included in the measurement of lease liability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23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Right-of-use asset obtained in exchange for new operating lease liability</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w:t>
            </w:r>
          </w:p>
        </w:tc>
        <w:tc>
          <w:tcPr>
            <w:tcW w:w="23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Remaining lease term (in years)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23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Discount rate (as a percentage)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CFO Silvia Acquisition, Inflection Points Inc., an entity controlled by Anthony Pompliano, the Company’s CEO, was the majority owner of CFO Silvia. Accordingly, Inflection Points Inc. was also a selling shareholder in the CFO Silvia Acquisition and received $14.0 million of the total acquisition consideration, consisting of $8.1 million of closing equity consideration and $5.9 million of contingent earnout consideration. The contingent earnout shares underlying the contingent consideration are issuable upon the achievement of specified market-based conditions, including the Company’s common stock reaching trading price at or above $9.00 per share.</w:t>
      </w:r>
    </w:p>
    <w:p>
      <w:pPr>
        <w:pStyle w:val="TextBody"/>
        <w:bidi w:val="0"/>
        <w:spacing w:before="0" w:after="283"/>
        <w:jc w:val="left"/>
        <w:rPr/>
      </w:pPr>
      <w:r>
        <w:rPr/>
        <w:t> </w:t>
      </w:r>
    </w:p>
    <w:p>
      <w:pPr>
        <w:pStyle w:val="TextBody"/>
        <w:bidi w:val="0"/>
        <w:jc w:val="both"/>
        <w:rPr/>
      </w:pPr>
      <w:r>
        <w:rPr/>
        <w:t>In addition, CFO Silvia was party to two promissory notes payable to Inflection Points Inc., an entity controlled by the Company’s Chief Executive Officer. The outstanding principal balance of the notes were $2.4 million as of the Acquisition Date. In connection with the CFO Silvia Acquisition, cash consideration of $1.4 million was used to repay one of the notes, and the remaining $1.0 million note was assumed by the Company and repaid following the acquisition. No amounts remained outstanding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through the date the unaudited condensed consolidated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Independent Director and Nasdaq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Company appointed Benjamin Buchanan as an independent director and member of the audit committee of the Board of Directors. As a result of this appointment, the Company regained compliance with Nasdaq corporate governance requirements relating to board and audit committee independence. On July 21, 2026, the Company received notice from Nasdaq confirming that the compliance matter had been resolved and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Exchange-Traded Funds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Tidal Trust IV, a Delaware statutory trust that is not affiliated with the Company, filed a registration statement on Form N-1A with the SEC with respect to five proposed actively managed exchange-traded funds. ProCap Investment Advisers, LLC, a wholly-owned subsidiary of the Company, is proposed to serve as investment sub-adviser to each fund. The registration statement is subject to SEC review and may be amended, delayed or withdrawn, and no fund may commence operations until its registration statement has become effective, its shares have been approved for listing on a national securities exchange and applicable distribution and operational arrangements are in place. As of the date these unaudited condensed consolidated financial statements were issued, no sub-advisory fees had been earned and no seed capital had been committed or funded by the Company or its subsidiaries. Costs incurred in connection with the proposed funds through the date of issuance were not material.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in this section to the “Company,” “ProCap,” “we,” “us,” or “our” refer to ProCap Financial, Inc., a Delaware corporation, and its subsidiaries. The following discussion and analysis of the financial condition and results of operations of the Company should be read together with our unaudited condensed consolidated financial statements and the related notes included elsewhere in this Quarterly Report on Form 10-Q (the “Quarterly Report”) for the six months ended June 30, 2026 (the “Unaudited Condensed Consolidated Financial Statements”), the Annual Report on Form 10-K filed on February 18, 2026 (the “Annual Report”), and the Definitive Proxy Statement filed on March 2, 2026 and Risk Factors contained therein.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December 5, 2025, the Company completed a business combination (the “Transaction”) with Columbus Circle Capital Corp I (“CCCM”), which was accounted for as a reverse recapitalization in accordance with U.S. generally accepted accounting principles (“GAAP”). ProCap BTC, LLC (“ProCap BTC”). was determined to be the accounting acquirer and CCCM was treated as the acquired company for financial reporting purposes. Following the Transaction, the Company became the publicly traded parent company, and ProCap BTC became its operating subsidiary. As a result, the historical financial statements of ProCap BTC became the historical financial statements of the Company. Accordingly, the comparative financial information presented for periods prior to the Transaction, including the period from June 10, 2025 (inception) through June 30, 2025, reflects the historical results of ProCap BTC. This discussion contains forward-looking statements that involve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Quarterly Report includes forward-looking statements within the meaning of Section 27A of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and “continue,” or the negative of such terms or other similar expressions. Such statements include, but are not limited to, statements regarding our future operating results and financial position, our business strategy and plans, market growth, and our objectives for future operations regarding our asset management business and the proposed Silvia ETFs; our Bitcoin treasury strategy; the integration of CFO Silvia; the remediation of the material weakness in our internal control over financial reporting; possible business combinations and the financing thereof, and related matters; as well as all other statements other than statements of historical fact included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Factors that might cause or contribute to such a discrepancy include, but are not limited to, those described in our other U.S. Securities and Exchange Commission (“SEC”) filings. Except as expressly required by applicable securities law, we disclaim any intention or obligation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 is a U.S.-based modern finance company. The Company’s mission is to help independent investors make money. Historically, the Company’s operations included investor-focused media, educational content, and strategic investments designed to support independent investors through digital platforms and other content offerings. We believe advances in artificial intelligence and automation have the potential to transform financial analysis, investment research, and investor decision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centered on developing scalable technology platforms, expanding our proprietary data and analytical capabilities, and pursuing strategic opportunities that enhance our products, services, and long-term growth prospects. Through a combination of internal development initiatives and strategic acquisitions, we seek to provide technology-enabled solutions designed to improve the accessibility, efficiency, and quality of financial information and analysis available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we expanded our AI-focused initiatives through the launch of ProCap Insights and the acquisition of CFO Silvia Inc., a Delaware corporation (“CFO Silvia” and such acquisition, the “CFO Silvia Acquisition”). ProCap Insights is an AI-driven research product designed to provide investors with market intelligence and investment research. CFO Silvia is a consumer-focused financial technology platform that utilizes AI to aggregate and analyze financial information. Together, these initiatives support our objective of developing technology-enabled solutions that improve the accessibility and efficiency of financial analysis and investor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adopted a Bitcoin treasury strategy and intend to hold Bitcoin as a long-term treasury reserve asset. We believe that Bitcoin represents a superior long-term store of value and a viable alternative to traditional fiat-based reserve assets and that Bitcoin will play an increasingly important role as a reserve asset for individuals, corporations, and governments worldwide.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 and Regulatory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AI-related initiatives operate in rapidly evolving and competitive markets and are subject to changing legal, regulatory, and technological developments, including those relating to data privacy, cybersecurity, intellectual property, consumer protection, and the use of automated financial analysis tools. As we continue to develop and expand our platforms, we expect innovation, technology development, and disciplined capital allocation to remain important components of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(the “Acquisition Date”), we completed the CFO Silvia Acquisition, a consumer-focused financial technology platform that utilizes artificial intelligence to aggregate, organize, and analyze financial information. The CFO Silvia Acquisition expands our AI-driven product offerings and supports our strategy of developing technology-enabled solutions designed to improve financial analysis, research, and investor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CFO Silvia have been included in our Unaudited Condensed Consolidated Financial Statements since the Acquisition Date. Additional information regarding the CFO Silvia Acquisition is included in Note 3 to the Unaudited Condensed Consolidated Financial Statements. Additional information regarding the CFO Silvia Acquisition and related agreements is also included in our Current Report on Form 8-K filed on April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has developed a consumer-facing AI platform that aggregates and organizes financial data to provide users with automated financial education, tracking and analytical tools. The CFO Silvia platform connects to financial account integrations, including brokerage accounts, retirement accounts, cryptocurrency wallets, real estate valuation services, and alternative investment platforms, to deliver users a consolidated, real-time view of their net worth, holdings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CFO Silvia platform utilizes AI-driven analytical tools to perform portfolio tracking, concentration analysis, fee analysis, scenario modeling, and informational financial summaries through a conversational interface accessible via chat, email, and voice. The platform is designed to surface potential portfolio risks, including sector or asset class overconcentration, elevated fee structures, and inefficient cash allocation. The platform does not provide personalized investment advice within the meaning of the Investment Advisers Act of 1940 and is not intended to serve as a registered investment adviser or replace the judgment of a qualified financial professional.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 Company expanded its business to include asset management through the launch of Silvia Innovation Fund I, LP, a Delaware limited partnership (the “Initial Fund” and together with any other private funds, alternative investment vehicles or co-investment vehicles that we or our subsidiaries sponsor, advise or manage, the “Funds”; the term “Funds” does not include the Silvia ETFs described below under “Proposed Exchange-Traded Funds”). The Initial Fund invests in early-stage companies aligned with the Company’s CFO Silvia platform strategy and is advised by ProCap Investment Advisers, LLC, a Delaware limited liability company and wholly-owned subsidiary of the Company (the “Investment Manager”). The Company holds indirectly an interest in the Initial Fund through Silvia Innovation Fund I GP, LLC, the general partner of the Initial Fund (the “General Partner”). The launch of the Initial Fund represents the Company’s initial expansion into investment management activities supporting its broader AI-enabled financial technology strategy. As of June 30, 2026, the Fund and related entities had not commenced significant operations and had not engaged in material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Independent Director and Nasdaq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Company appointed Benjamin Buchanan as an independent director of the Company’s board of directors (the “Board”) and member of the audit committee of the Board (the “Audit Committee”). As a result of this appointment, the Company regained compliance with The Nasdaq Stock Market LLC (“Nasdaq”) corporate governance requirements relating to Board and Audit Committee independence. On July 21, 2026, the Company received notice from Nasdaq confirming that the compliance matter had been resolved and closed.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Proposed 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Tidal Trust IV, a Delaware statutory trust that is not affiliated with us, filed a registration statement on Form N-1A with the SEC with respect to five proposed actively managed exchange-traded funds (the “Silvia ETFs”). Tidal Investments LLC serves as investment adviser to the Silvia ETFs, and the Investment Manager is proposed to serve as investment sub-adviser and to provide portfolio management services. In connection with these arrangements, the Investment Manager expects to register with the SEC as an investment adviser under the Investment Advisers Act of 1940,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remains subject to SEC review and comment and may be amended, delayed or withdrawn. No Silvia ETF may commence operations until its registration statement has become effective, its shares have been approved for listing on a national securities exchange, and applicable distribution and operational arrangements are in place. We have not earned any sub-advisory fees to date and do not expect the Silvia ETFs to generate meaningful revenue in the near term. See Part II, Item 1A, “Risk Factors - Risks Related to Our Expansion into 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is not an offer to sell or the solicitation of an offer to buy shares of any Silvia ETF. Any offering of shares of a Silvia ETF will be made only by means of a prospectus. We are not the issuer of, and do not offer, shares of any Silvia ETF.</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discussed in Note 1 to our Unaudited Condensed Consolidated Financial Statements, the comparative financial information presented for the period from June 10, 2025 (inception) through June 30, 2025, reflects the historical results of ProCap BTC.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figures in this Item 2 in thousands, except share, per share data, Bitcoin, and per Bitcoin data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Period Ended June 30, 2026, and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5"/>
        <w:gridCol w:w="60"/>
        <w:gridCol w:w="256"/>
        <w:gridCol w:w="1331"/>
        <w:gridCol w:w="80"/>
        <w:gridCol w:w="60"/>
        <w:gridCol w:w="417"/>
        <w:gridCol w:w="1979"/>
        <w:gridCol w:w="80"/>
        <w:gridCol w:w="60"/>
        <w:gridCol w:w="200"/>
        <w:gridCol w:w="1044"/>
        <w:gridCol w:w="80"/>
        <w:gridCol w:w="60"/>
        <w:gridCol w:w="108"/>
        <w:gridCol w:w="1190"/>
        <w:gridCol w:w="205"/>
      </w:tblGrid>
      <w:tr>
        <w:trPr/>
        <w:tc>
          <w:tcPr>
            <w:tcW w:w="2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June 10, 2025 (Inception) through</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4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r>
      <w:tr>
        <w:trPr/>
        <w:tc>
          <w:tcPr>
            <w:tcW w:w="2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(Decrease)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Change</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7"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6"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19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 </w:t>
            </w:r>
          </w:p>
        </w:tc>
      </w:tr>
      <w:tr>
        <w:trPr/>
        <w:tc>
          <w:tcPr>
            <w:tcW w:w="2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187738</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187275</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19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 </w:t>
            </w:r>
          </w:p>
        </w:tc>
      </w:tr>
      <w:tr>
        <w:trPr/>
        <w:tc>
          <w:tcPr>
            <w:tcW w:w="2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gain on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conversion feature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three months ended June 30, 2026 was $0.04 million and for the period from June 10, 2025 (Inception) through June 30, 2025 was $0. Revenue remained limited as we launched new revenue generating products during the period relating to ProCap Insights and CFO Silvia. The Company’s revenue growth will depend on the successful commercialization of its products and services and the continued execution of its growth strategy.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$11.3 million for the three months ended June 30, 2026, compared to $0 for the period from June 10, 2025 (Inception) through June 30, 2025. The 2026 period reflects operations as a public company and inclusion of $6.7 million of payroll compensation (including a one-time signing bonus of $5.0 million for the Chief Technology Officer), $1.3 million of software licensing fees, $1.2 million of amortization of acquired intangible assets, $1.0 million of professional fees (including acquisition related expenses), among other expenses. The inception period reflected only limited administrative activities as we had recently commenced operations then and had not yet developed the infrastructure, personnel base, and operational scale necessary to support its current business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was $3.7 million for the three months ended June 30, 2026, compared to $0 for the period from June 10, 2025 (inception) through June 30, 2025. The increase was attributable to equity awards granted to employees and consultants under the Company’s equity incentive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for the three months ended June 30, 2026 was $52.6 million, compared to other income, net of $24.6 million for the period from June 10, 2025 (Inception) through June 30, 2025. The Company’s results during the period were primarily driven by the change in fair value of digital assets as a result of decline in Bitcoin market prices.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 gain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on digital assets was $49.4 million for the three months ended June 30, 2026, compared to an unrealized gain on digital assets of $14.3 million for the period from June 10, 2025 (inception) through June 30, 2025. The change was primarily attributable to declines in the fair value of the Company’s Bitcoin holdings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 was $2.7 million for the three months ended June 30, 2026, compared to $0 for the period from June 10, 2025 (inception) through June 30, 2025. The loss was attributable to sales of digital assets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and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income was $0.1 million for the three months ended June 30, 2026, compared to $0 for the period from June 10, 2025 (inception) through June 30, 2025. The increase was primarily attributable to income earned on cash, cash equivalents, and investments held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fair value of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was $0 for the three months ended June 30, 2026, compared to $10.3 million for the period from June 10, 2025 (inception) through June 30, 2025. The change was attributable to the absence of derivative liabilities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Six Months Period Ended June 30, 2026, and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0"/>
        <w:gridCol w:w="60"/>
        <w:gridCol w:w="215"/>
        <w:gridCol w:w="1349"/>
        <w:gridCol w:w="95"/>
        <w:gridCol w:w="60"/>
        <w:gridCol w:w="390"/>
        <w:gridCol w:w="1910"/>
        <w:gridCol w:w="95"/>
        <w:gridCol w:w="60"/>
        <w:gridCol w:w="183"/>
        <w:gridCol w:w="1149"/>
        <w:gridCol w:w="95"/>
        <w:gridCol w:w="60"/>
        <w:gridCol w:w="105"/>
        <w:gridCol w:w="1315"/>
        <w:gridCol w:w="234"/>
      </w:tblGrid>
      <w:tr>
        <w:trPr/>
        <w:tc>
          <w:tcPr>
            <w:tcW w:w="2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 June 10, 2025 (Inception) through</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2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Increase (Decrease)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Change</w:t>
            </w:r>
          </w:p>
        </w:tc>
        <w:tc>
          <w:tcPr>
            <w:tcW w:w="234" w:type="dxa"/>
            <w:tcBorders/>
            <w:vAlign w:val="center"/>
          </w:tcPr>
          <w:p>
            <w:pPr>
              <w:pStyle w:val="TableContents"/>
              <w:bidi w:val="0"/>
              <w:spacing w:before="0" w:after="283"/>
              <w:jc w:val="left"/>
              <w:rPr/>
            </w:pPr>
            <w:r>
              <w:rPr/>
              <w:t> </w:t>
            </w:r>
          </w:p>
        </w:tc>
      </w:tr>
      <w:tr>
        <w:trPr/>
        <w:tc>
          <w:tcPr>
            <w:tcW w:w="2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28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349"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283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283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15,556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15,548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7,263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7,263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FFFFFF" w:val="clear"/>
            <w:tcMar>
              <w:bottom w:w="28" w:type="dxa"/>
            </w:tcMar>
            <w:vAlign w:val="center"/>
          </w:tcPr>
          <w:p>
            <w:pPr>
              <w:pStyle w:val="TableContents"/>
              <w:bidi w:val="0"/>
              <w:spacing w:before="0" w:after="283"/>
              <w:jc w:val="right"/>
              <w:rPr/>
            </w:pPr>
            <w:r>
              <w:rPr/>
              <w:t>22,819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22,811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285138</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CCEEFF" w:val="clear"/>
            <w:tcMar>
              <w:bottom w:w="28" w:type="dxa"/>
            </w:tcMar>
            <w:vAlign w:val="center"/>
          </w:tcPr>
          <w:p>
            <w:pPr>
              <w:pStyle w:val="TableContents"/>
              <w:bidi w:val="0"/>
              <w:spacing w:before="0" w:after="283"/>
              <w:jc w:val="right"/>
              <w:rPr/>
            </w:pPr>
            <w:r>
              <w:rPr/>
              <w:t>(22,781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0"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(22,773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284663</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2830"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2830" w:type="dxa"/>
            <w:tcBorders/>
            <w:shd w:fill="FFFFFF" w:val="clear"/>
            <w:vAlign w:val="center"/>
          </w:tcPr>
          <w:p>
            <w:pPr>
              <w:pStyle w:val="TableContents"/>
              <w:bidi w:val="0"/>
              <w:spacing w:before="0" w:after="283"/>
              <w:jc w:val="left"/>
              <w:rPr/>
            </w:pPr>
            <w:r>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(154,829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14,296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(169,125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-1183</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5,933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5,933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Interest and dividend income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0" w:type="dxa"/>
            <w:tcBorders>
              <w:bottom w:val="single" w:sz="8" w:space="0" w:color="000000"/>
            </w:tcBorders>
            <w:shd w:fill="CCEEFF" w:val="clear"/>
            <w:tcMar>
              <w:bottom w:w="28" w:type="dxa"/>
            </w:tcM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FFFFFF" w:val="clear"/>
            <w:tcMar>
              <w:bottom w:w="28" w:type="dxa"/>
            </w:tcMar>
            <w:vAlign w:val="center"/>
          </w:tcPr>
          <w:p>
            <w:pPr>
              <w:pStyle w:val="TableContents"/>
              <w:bidi w:val="0"/>
              <w:spacing w:before="0" w:after="283"/>
              <w:jc w:val="right"/>
              <w:rPr/>
            </w:pPr>
            <w:r>
              <w:rPr/>
              <w:t>(152,529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0" w:type="dxa"/>
            <w:tcBorders>
              <w:bottom w:val="single" w:sz="8" w:space="0" w:color="000000"/>
            </w:tcBorders>
            <w:shd w:fill="FFFFFF" w:val="clear"/>
            <w:tcMar>
              <w:bottom w:w="28" w:type="dxa"/>
            </w:tcMar>
            <w:vAlign w:val="center"/>
          </w:tcPr>
          <w:p>
            <w:pPr>
              <w:pStyle w:val="TableContents"/>
              <w:bidi w:val="0"/>
              <w:spacing w:before="0" w:after="283"/>
              <w:jc w:val="right"/>
              <w:rPr/>
            </w:pPr>
            <w:r>
              <w:rPr/>
              <w:t>24,626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(177,155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-719</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2830" w:type="dxa"/>
            <w:tcBorders/>
            <w:shd w:fill="FFFFFF" w:val="clear"/>
            <w:vAlign w:val="center"/>
          </w:tcPr>
          <w:p>
            <w:pPr>
              <w:pStyle w:val="TableContents"/>
              <w:bidi w:val="0"/>
              <w:spacing w:before="0" w:after="283"/>
              <w:jc w:val="left"/>
              <w:rPr/>
            </w:pPr>
            <w:r>
              <w:rPr/>
              <w:t>Net (loss) income before taxes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FFFFFF" w:val="clear"/>
            <w:tcMar>
              <w:bottom w:w="28" w:type="dxa"/>
            </w:tcMar>
            <w:vAlign w:val="center"/>
          </w:tcPr>
          <w:p>
            <w:pPr>
              <w:pStyle w:val="TableContents"/>
              <w:bidi w:val="0"/>
              <w:spacing w:before="0" w:after="283"/>
              <w:jc w:val="right"/>
              <w:rPr/>
            </w:pPr>
            <w:r>
              <w:rPr/>
              <w:t>(175,310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0" w:type="dxa"/>
            <w:tcBorders>
              <w:bottom w:val="single" w:sz="8" w:space="0" w:color="000000"/>
            </w:tcBorders>
            <w:shd w:fill="FFFFFF" w:val="clear"/>
            <w:tcMar>
              <w:bottom w:w="28" w:type="dxa"/>
            </w:tcMar>
            <w:vAlign w:val="center"/>
          </w:tcPr>
          <w:p>
            <w:pPr>
              <w:pStyle w:val="TableContents"/>
              <w:bidi w:val="0"/>
              <w:spacing w:before="0" w:after="283"/>
              <w:jc w:val="right"/>
              <w:rPr/>
            </w:pPr>
            <w:r>
              <w:rPr/>
              <w:t>24,618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(199,928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-812</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283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double" w:sz="6" w:space="0" w:color="000000"/>
            </w:tcBorders>
            <w:shd w:fill="FFFFFF" w:val="clear"/>
            <w:tcMar>
              <w:bottom w:w="28" w:type="dxa"/>
            </w:tcMar>
            <w:vAlign w:val="center"/>
          </w:tcPr>
          <w:p>
            <w:pPr>
              <w:pStyle w:val="TableContents"/>
              <w:bidi w:val="0"/>
              <w:spacing w:before="0" w:after="283"/>
              <w:jc w:val="right"/>
              <w:rPr/>
            </w:pPr>
            <w:r>
              <w:rPr/>
              <w:t>(2,504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0</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2830"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349" w:type="dxa"/>
            <w:tcBorders/>
            <w:shd w:fill="FFFFFF" w:val="clear"/>
            <w:vAlign w:val="center"/>
          </w:tcPr>
          <w:p>
            <w:pPr>
              <w:pStyle w:val="TableContents"/>
              <w:bidi w:val="0"/>
              <w:spacing w:before="0" w:after="283"/>
              <w:jc w:val="right"/>
              <w:rPr/>
            </w:pPr>
            <w:r>
              <w:rPr/>
              <w:t>(172,806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w:t>
            </w:r>
          </w:p>
        </w:tc>
        <w:tc>
          <w:tcPr>
            <w:tcW w:w="1910" w:type="dxa"/>
            <w:tcBorders/>
            <w:shd w:fill="FFFFFF" w:val="clear"/>
            <w:vAlign w:val="center"/>
          </w:tcPr>
          <w:p>
            <w:pPr>
              <w:pStyle w:val="TableContents"/>
              <w:bidi w:val="0"/>
              <w:spacing w:before="0" w:after="283"/>
              <w:jc w:val="right"/>
              <w:rPr/>
            </w:pPr>
            <w:r>
              <w:rPr/>
              <w:t>24,618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149" w:type="dxa"/>
            <w:tcBorders/>
            <w:shd w:fill="FFFFFF" w:val="clear"/>
            <w:vAlign w:val="center"/>
          </w:tcPr>
          <w:p>
            <w:pPr>
              <w:pStyle w:val="TableContents"/>
              <w:bidi w:val="0"/>
              <w:spacing w:before="0" w:after="283"/>
              <w:jc w:val="right"/>
              <w:rPr/>
            </w:pPr>
            <w:r>
              <w:rPr/>
              <w:t>(197,424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-802</w:t>
            </w:r>
          </w:p>
        </w:tc>
        <w:tc>
          <w:tcPr>
            <w:tcW w:w="23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six months ended June 30, 2026 and for the period from June 10, 2025 (Inception) through June 30, 2025 was $0.04 million and $0, respectively, as we launched new revenue generating products during the June 30, 2026 period relating to ProCap Insights and the CFO Silvia Acquisition. The Company’s revenue growth will depend on the successful commercialization of its products and services and the continued execution of its growth strategy.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$15.6 million for the six months ended June 30, 2026, compared to $0 for the period from June 10, 2025 (Inception) through June 30, 2025. The 2026 period reflects operations as a public company and inclusion of $7.7 million of payroll compensation (including a one-time signing bonus of $5.0 million for the Chief Technology Officer), $1.3 million of software licensing fees, $1.2 million of amortization of acquired intangible assets, $2.8 million of professional fees (including acquisition related expenses), among other expenses. The inception period reflected only limited administrative activities as we had recently commenced operations then and had not yet developed the infrastructure, personnel base, and operational scale necessary to support its current business activities.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was $7.3 million for the six months ended June 30, 2026, compared to $0 for the period from June 10, 2025 (inception) through June 30, 2025. The increase was attributable to equity awards granted to employees and consultants under the Company’s equity incentive plans.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was $152.5 million for the six months ended June 30, 2026, compared to other income, net of $24.6 million for the period from June 10, 2025 (inception) through June 30, 2025. The change was primarily attributable to unrealized losses on digital assets recognized during the 2026 period.</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 gain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on digital assets was $154.8 million for the six months ended June 30, 2026, compared to an unrealized gain on digital assets of $14.3 million for the period from June 10, 2025 (inception) through June 30, 2025. The change was primarily attributable to declines in the fair value of the Company’s Bitcoin holdings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 was $2.7 million for the six months ended June 30, 2026, compared to $0 for the period from June 10, 2025 (inception) through June 30, 2025. The loss was attributable to sales of digital assets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fair value of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resulted in income of $0.9 million for the six months ended June 30, 2026, compared to $0 for the period from June 10, 2025 (inception) through June 30, 2025. The income was attributable to changes in the fair value of the conversion feature embedded within the Company’s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 loss on put option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put option liabilities was $0.9 million for the six months ended June 30, 2026, compared to $0 for the period from June 10, 2025 (inception) through June 30, 2025. The loss was attributable to the settlement of put option liabilities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extinguishment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 was $5.9 million for the six months ended June 30, 2026, compared to $0 for the period from June 10, 2025 (inception) through June 30, 2025. The gain was primarily attributable to the repurchase of a portion of the Company’s outstanding convertible notes at a discount to the principal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$1.9 million for the six months ended June 30, 2026, compared to $0 for the period from June 10, 2025 (inception) through June 30, 2025. The increase was primarily attributable to amortization of debt discount and debt issuance costs associated with the Company’s convertible notes, as well as the repayment of a portion of such notes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fair value of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was $0 for the six months ended June 30, 2026, compared to income of $10.3 million for the period from June 10, 2025 (inception) through June 30, 2025. The decrease was attributable to the absence of derivative liabilities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approximately $15.3 million and working capital of approximately $(77.3 million). The working capital deficit resulted primarily from the reclassification of the Company’s outstanding convertible notes as current liabilities as of June 30, 2026 due to holders’ contractual repurchase rights that may become exercisable within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aggregate principal amount of the outstanding convertible notes was $99.6 million. Although the notes mature in December 2028, holders may have contractual repurchase rights that become exercisable beginning June 5, 2027. As a result, the convertible notes were classified as current liabilities as of June 30, 2026. See Note 7, Convertible Notes, for additional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held approximately 5,355 Bitcoin with an aggregate fair value of approximately $313.4 million, a portion of which serves as collateral under our convertible note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collateral arrangements associated with financing activities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we currently have no off-balance sheet financing arrangements and did not have any material capital expenditure commitments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any committed external sources of liquidity, including credit facilities or other financing arrangements. In evaluating our liquidity position, we considered our anticipated operating cash needs, the timing and nature of potential obligations under the convertible notes, our current cash and cash equivalents balance, and the availability of financing and capital-raising alternatives. While our Bitcoin is held for long-term appreciation, we also considered it in the overall evaluation of our liquidity position given its active trading market. As a result, a significant increase or decrease in the market value or liquidity of bitcoin would impact our evaluation.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considerations, we believe the Company has sufficient resources to satisfy its obligations as they become due, including any obligations that may arise under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near term, we expect to use available resources primarily to fund operating expenses, working capital requirements, investments in technology and infrastructure, and the development of our asset management and exchange-traded fund businesses, including registration and compliance costs, personnel and systems, the General Partner’s capital contributions to the Initial Fund and seed capital, expense limitation or reimbursement obligations we agree to provide in connection with the Silvia ETFs, if any. As of the date of this Quarterly Report, we have not committed to provide seed capital to any Silvia ETF. Amounts we commit to these businesses would not be available for our existing operations, debt service, acquisitions or other corporate purposes. We expect these costs to increase in future periods and to be incurred before, and substantially in advance of, any related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longer term, we may deploy capital to support strategic acquisitions, business expansion initiatives, investments in digital assets, and potential share repurchase programs. The timing and magnitude of these expenditures will depend on market conditions, the availability of capital, and strategic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assessment of its anticipated operating cash needs, potential obligations under the convertible notes, financial position, and available financing and capital-raising alternatives, we believe that the Company has sufficient resources to satisfy anticipated working capital and operating requirements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for the Six Months Ended June 30, 2026 and for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investing and financing activities for the six months ended June 30, 2026 and for the period from June 10, 2025 (Inception) through June 30, 2025 (In thousands):</w:t>
      </w:r>
    </w:p>
    <w:p>
      <w:pPr>
        <w:pStyle w:val="TextBody"/>
        <w:bidi w:val="0"/>
        <w:spacing w:before="0" w:after="0"/>
        <w:ind w:left="0" w:right="0" w:hanging="0"/>
        <w:jc w:val="both"/>
        <w:rPr>
          <w:caps w:val="false"/>
          <w:smallCaps w:val="false"/>
        </w:rPr>
      </w:pPr>
      <w:r>
        <w:rPr>
          <w:caps w:val="false"/>
          <w:smallCaps w:val="false"/>
        </w:rPr>
        <w:t> </w:t>
      </w:r>
    </w:p>
    <w:tbl>
      <w:tblPr>
        <w:tblW w:w="9233" w:type="dxa"/>
        <w:jc w:val="left"/>
        <w:tblInd w:w="0" w:type="dxa"/>
        <w:tblLayout w:type="fixed"/>
        <w:tblCellMar>
          <w:top w:w="0" w:type="dxa"/>
          <w:left w:w="0" w:type="dxa"/>
          <w:bottom w:w="0" w:type="dxa"/>
          <w:right w:w="0" w:type="dxa"/>
        </w:tblCellMar>
      </w:tblPr>
      <w:tblGrid>
        <w:gridCol w:w="4775"/>
        <w:gridCol w:w="60"/>
        <w:gridCol w:w="292"/>
        <w:gridCol w:w="1827"/>
        <w:gridCol w:w="95"/>
        <w:gridCol w:w="60"/>
        <w:gridCol w:w="276"/>
        <w:gridCol w:w="1738"/>
        <w:gridCol w:w="110"/>
      </w:tblGrid>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1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1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Period from</w:t>
            </w:r>
          </w:p>
          <w:p>
            <w:pPr>
              <w:pStyle w:val="TableContents"/>
              <w:bidi w:val="0"/>
              <w:jc w:val="center"/>
              <w:rPr>
                <w:rFonts w:ascii="Times New Roman;Times;Serif" w:hAnsi="Times New Roman;Times;Serif"/>
                <w:b/>
              </w:rPr>
            </w:pPr>
            <w:r>
              <w:rPr>
                <w:rFonts w:ascii="Times New Roman;Times;Serif" w:hAnsi="Times New Roman;Times;Serif"/>
                <w:b/>
              </w:rPr>
              <w:t>June 10, 2025</w:t>
            </w:r>
          </w:p>
          <w:p>
            <w:pPr>
              <w:pStyle w:val="TableContents"/>
              <w:bidi w:val="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0" w:type="dxa"/>
            <w:tcBorders/>
            <w:vAlign w:val="center"/>
          </w:tcPr>
          <w:p>
            <w:pPr>
              <w:pStyle w:val="TableContents"/>
              <w:bidi w:val="0"/>
              <w:spacing w:before="0" w:after="283"/>
              <w:jc w:val="center"/>
              <w:rPr/>
            </w:pPr>
            <w:r>
              <w:rPr/>
              <w:t> </w:t>
            </w:r>
          </w:p>
        </w:tc>
      </w:tr>
      <w:tr>
        <w:trPr/>
        <w:tc>
          <w:tcPr>
            <w:tcW w:w="47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$14.5 million for the six months ended June 30, 2026, compared to $0 for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operating activities reflected the Company’s net loss of $172.8 million, adjusted for non-cash items of $162.0 million. The most significant adjustment was $154.8 million of unrealized losses on digital assets resulting from declines in the fair value of Bitcoin holdings during the period. Changes in operating assets and liabilities resulted in a net use of cash of $3.8 million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10, 2025 (inception) through June 30, 2025, net cash provided by operating activities was not significant. Net income of $24.6 million, primarily attributable to unrealized gains on digital assets and gains recognized from changes in the fair value of the conversion feature liability, was largely offset by non-cash fair value adjustments and changes in working capital accounts.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$30.7 million for the six months ended June 30, 2026. The use of cash was primarily attributable to $36.0 million of purchases of digital assets, $1.3 million paid in connection with the CFO Silvia acquisition, and $0.3 million of capital expenditures for property and equipment. These cash outflows were partially offset by $6.9 million of proceeds from sales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10, 2025 (inception) through June 30, 2025, net cash used in investing activities consisted primarily of $476.0 million of purchases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$134.3 million for the six months ended June 30, 2026. The use of cash primarily consisted of $119.2 million of payments to repurchase a portion of the Company’s outstanding convertible notes, $12.8 million of treasury stock repurchases, $1.7 million of purchases of derivative securities, $1.0 million of tax payments associated with the vesting of restricted stock units, and $0.6 million of settlements of derivative securities. These outflows were partially offset by $0.9 million of proceeds received from derivative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10, 2025 (inception) through June 30, 2025, net cash provided by financing activities consisted primarily of $476.0 million of proceeds from the issuance of preferred units, which were used principally to fund the acquisition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and the accompanying notes thereto included elsewhere in this Quarterly Report are prepared in accordance with GAAP. The preparation of our Unaudited Condensed Consolidated Financial Statements requires us to make estimates and assumptions that affect the reported amounts of assets, liabilities, costs and expenses, and related disclosure. We have based our estimates on various assumptions that are believed to be reasonable under the circumstances, the results of which form the basis for making judgments about the carrying values of assets and liabilities that are not readily apparent from other sources. We are subject to uncertainties such as the impact of future events, economic and political factors, and changes in our business environment; therefore, actual results could differ significantly from these estimates under different assumptions or conditions. To the extent that there are differences between our estimates and actual results, our future Unaudited Condensed Consolidated Financial Statement presentation, financial condition, results of operations, and cash flows will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it requires assumptions about matters that were highly uncertain at the time the estimate was made and if changes in those assumptions, or changes in the estimate that are reasonably likely to occur from period to period, would have a material effect on our financial condition or results of operations.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estimates are described in our Annual Report on Form 10-K for the year ended December 31, 2025. During the six months ended June 30, 2026, we identified the following additional critical accounting estimates as a result of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acquisitions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The allocation of purchase consideration to the assets acquired and liabilities assumed requires significant estimates and management judgment, particularly with respect to the valuation of identifiable intangible assets, contingent consideration arrangements, estimated useful lives of acquired assets, and certain tax-related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acquired intangible assets and contingent consideration involves the use of significant assumptions, including projected future cash flows, royalty rates, customer attrition rates, discount rates, expected volatility, and other market-based inputs. Changes in these assumptions could materially impact the amounts assigned to acquired assets and liabilities, the resulting amount of goodwill recognized, and future amortization expense. In addition, because the purchase price allocation remains subject to measurement period adjustments, future revisions to estimates may result in changes to the recorded amounts of assets acquired and liabilities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share-based compensation in accordance with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The determination of the grant-date fair value of certain share-based awards requires significant judgment and the use of valuation models, particularly for awards containing market-based vesting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these awards requires management to develop assumptions regarding expected stock price volatility, expected term, risk-free interest rates, dividend yield, and other market-based inputs. Changes in these assumptions may significantly affect the estimated fair value of awards and, accordingly, the amount and timing of compensation expense recognized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“Summary of Significant Accounting Policies” described in Note 2 to our Unaudited Condensed Consolidated Financial Statements included elsewhere in this Quarterly Report for a description of our significant accounting policies.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collateral arrangements associated with financing activities, 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“Recent Accounting Pronouncements” described in Note 2 of our Unaudited Condensed Consolidated Financial Statements included elsewhere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(“EGC”), as defined in the JOBS Act. Under the JOBS Act, emerging growth companies can delay adopting new or revised accounting standards issued subsequent to the enactment of the JOBS Act, until such time as to those standards apply to private companies. We have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intend to rely on the other exemptions and reduced reporting requirements provided by the JOBS Act. Subject to certain conditions set forth in the JOBS Act, if, as an EGC, the Company intends to rely on such exemptions, it is not required to, among other things: (i) provide an auditor’s attestation report on its system of internal controls over financial reporting pursuant to Section 404(b) of the Sarbanes-Oxley Act; (ii) provide all of the compensation disclosure that may be required of non-emerging growth public companies under the Dodd-Frank Wall Street Reform and Consumer Protection Act of 2010;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EGC until the earlier of (1) the last day of the fiscal year (a) following the fifth anniversary of the date of the initial public offering, (b) in which we have total annual gross revenue of at least $1.235 billion, or (c) in which we are deemed to be a large accelerated filer, which means the market value of our shares of common stock, par value $0.001 per share (“Common Stock”) that are held by non-affiliates exceeds $700 million as of the prior June 30, and (2) the date on which we have issued more than $1.0 billion in non-convertible debt during the prior three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Market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investment is measured using observed prices from active exchanges and adjustments are recorded in net income through “other income (expenses), net” on our Unaudited Condensed Consolidated Statement of Operations. The Bitcoin market price may fluctuate significantly and a decline in the market price of Bitcoin could result in a material adverse effect on our financial results in future periods. See the risk factors included under the heading “</w:t>
      </w:r>
      <w:r>
        <w:rPr>
          <w:rFonts w:ascii="Times New Roman;Times;Serif" w:hAnsi="Times New Roman;Times;Serif"/>
          <w:b w:val="false"/>
          <w:i/>
          <w:caps w:val="false"/>
          <w:smallCaps w:val="false"/>
          <w:sz w:val="20"/>
        </w:rPr>
        <w:t>Risks Related to Our Business and Bitcoin Treasury Strategy</w:t>
      </w:r>
      <w:r>
        <w:rPr>
          <w:rFonts w:ascii="Times New Roman;Times;Serif" w:hAnsi="Times New Roman;Times;Serif"/>
          <w:b w:val="false"/>
          <w:i w:val="false"/>
          <w:caps w:val="false"/>
          <w:smallCaps w:val="false"/>
          <w:sz w:val="20"/>
        </w:rPr>
        <w:t>” in our Annual Report for more information regarding the risks related to our Bitcoin holdings. As of June 30, 2026 and December 31, 2025, the fair value of our Bitcoin investment included in digital assets was $313.4 million and $441.8 million, respectively. For the six months ended June 30, 2026, we recognized an unrealized loss from the remeasurement of our Bitcoin investment of $154.8 million.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companies are not required to provide the information required by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evaluation under the supervision and with the participation of the Company’s management, the Company’s Chief Executive Officer and Chief Financial Officer have concluded that the Company’s disclosure controls and procedures as defined in Rules 13a-15(e) and 15d-15(e) under the Exchange Act were not effective as of June 30, 2026, due to a material weakness in internal control over financial reporting related to (i) inadequate segregation of duties and ineffective risk assessment and (ii) insufficient written policies and procedures for accounting and financial reporting with respect to the requirements and application of both GAAP and SEC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Plan for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with oversight from our Audit Committee, is in the process of developing and implementing its remediation plan specific to the material weakness, which is expected to include the adequate segregation of duties, effective risk assessment and implementation of written policies and procedures for accounting and financial reporting. However, the material weakness will not be considered remediated until the applicable remedial controls operate for a sufficient period of time, and management has concluded, through testing, that the related controls are operating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occurred during the quarter ended June 30, 2026 that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to differ materially from those in this Quarterly Report include the risk factors described in our filings with the SEC, including our Annual Report. Additional risk factors not presently known to us or that we currently deem immaterial may also impair our business or results of operations. We may disclose changes to such factors or disclose additional factors from time to time in our future filings with the SEC. As of the date of this Quarterly Report, there have been no material updates or changes with respect to the risk factors previously disclosed in our Annual Report, other than as set forth below, which should be read in conjunction with the risks described in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must satisfy Nasdaq’s continued listing requirements, and a failure to do so could result in the delisting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listed on Nasdaq. To maintain that listing, we must satisfy Nasdaq’s continued listing requirements, including corporate governance requirements relating to the composition of the Board and its committees, as well as other quantitative and qualitative standards. From time to time, we may not be in compliance with one or more of these requirements, as occurred following a director resignation in January 2026 that is described in our Current Report on Form 8-K filed with the SEC on January 23, 2026. Although we regained compliance and that matter has been closed by Nasdaq, we cannot assure you that we will remain in compliance with all applicable Nasdaq requirements in the future. If we fail to satisfy Nasdaq’s continued listing requirements and do not timely regain compliance, Nasdaq could commence suspension or delisting procedures, which could reduce the liquidity and market price of our Common Stock and impair our ability to raise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CFO Silvia attempts to remedy any issues it observes in its products as effectively and rapidly as possible, such efforts may not be timely, may hamper production or may not completely satisfy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has performed, and continues to perform, extensive internal testing on its products and features, however, like the rest of the industry, it currently has a limited frame of reference by which to evaluate certain aspects of its long-term quality, reliability, durability and performance characteristics, including exposure to or consequence of external attacks. While CFO Silvia attempts to identify and address or remedy defects it identifies during the pre-production and sale phases, there may be latent defects that it may be unable to detect or control for in its products, and thereby address, prior to its sale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lack of a public market for CFO Silvia’s capital stock made it difficult to evaluate the fair market value of CFO Silvia’s capital stock, the value of our shares of Common Stock issued to CFO Silvia’s stockholders in connection with the CFO Silvia Acquisition may be more or less than the fair market value of CFO Silvia’s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capital stock of CFO Silvia was privately held and was not traded in any public market. The lack of a public market made it difficult to determine the fair market value of CFO Silvia’s capital stock. Because the percentage of our equity issued to CFO Silvia’s stockholders in the CFO Silvia Acquisition was determined based on negotiations between the parties, it is possible that the value of our shares of Common Stock issued to CFO Silvia’s stockholders in connection with the CFO Silvia Acquisition was more or less than the fair market value of CFO Silvia’s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existing stockholders have reduced ownership and voting interests in ProCap following completion of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8,416,951 shares of our Common Stock upon completion of the CFO Silvia Acquisition; further, we may issue up to 9,000,000 additional earnout shares in a five-year period. Based on the number of shares of Common Stock of ProCap outstanding on February 10, 2026, the record date for our Annual Meeting of Stockholder held on March 27, 2026, upon the completion of the CFO Silvia Acquisition, current ProCap stockholders and former CFO Silvia stockholders would own approximately 90.3% and 9.7% of our Common Stock,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CFO Silvia Acquisition occurred, each CFO Silvia stockholder who received shares of our Common Stock became a stockholder of ProCap. As a result, the percentage ownership of ProCap held by each of the stockholders prior to the CFO Silvia Acquisition was smaller than such stockholder’s percentage ownership of ProCap prior to the CFO Silvia Acquisition. Our current stockholders will, therefore, have proportionately less ownership and voting interests in ProCap following the CFO Silvia Acquisition than they had prior to the CFO Silvia Acquisition.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realize the anticipated benefits of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there are significant benefits that may be realized by the CFO Silvia Acquisition. However, the efforts to realize these benefits will be a complex process and may disrupt our existing operations if not implemented in a timely and efficient manner. The full benefits of the CFO Silvia Acquisition may not be realized as expected or may not be achieved within the anticipated time frame, or at all. Failure to achieve the anticipated benefits of the CFO Silvia Acquisition could adversely affect our business, operating results or financial condition and cause the combined business to not perform as expected. Specifically, the following issues, among others, must be addressed to realize the anticipated benefits of the CFO Silvia Acquisition: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combining certain of the companies’ financial, reporting and corporate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consolidating the companies’ administrative and IT infrastructure;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CFO Silvia’s finance and accounting infrastructure and personnel, including SEC reporting capabilities, technical accounting, tax, internal audit and compliance capabilities;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and maintaining requisite internal controls over financial reporting and disclosure controls and procedures;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continued compliance with the Nasdaq Listing Rules, including compliance with Nasdaq corporate governance requirements.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integrate, operate, or improve CFO Silvia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and operation of CFO Silvia may be difficult and may impose significant demands on management and our administrative and financial resources. Integration risks include, among others, implementing consistent operating standards; consolidating systems, procedures, and vendors; integrating management and personnel; retaining key employees; maintaining employee morale; adapting marketing strategies to local markets; and establishing or enhancing financial reporting systems and internal control over financial reporting. If we are unable to successfully integrate CFO Silvia, our business, results of operations, and cash flows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Expansion into 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the asset management business is a new initiative, and we may not successfully develop or operate this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 into the asset management business is a new initiative, and we, including our newly formed asset-management subsidiaries, have a limited operating history forming, marketing, managing and administering private funds and other investment products. Our initial asset-management product, the Initial Fund, is intended to be a closed-end private fund, for which the Investment Manager, is expected to provide investment management services. The Initial Fund is intended to seek long-term capital appreciation primarily through technology-sector investments, which investments are generally illiquid and long-term in nature, and the Initial Fund is expected to have broad investment flexibility, including the ability to make co-investments and to invest through alternative investment vehicles and other structures. Although certain members of our management team may have investment experience, operating an asset management platform requires specialized investment, legal, regulatory, compliance, accounting, valuation, tax, investor-relations, information-technology and administrative expertise. Different fund structures and investment strategies may require additional capabilities that we do not currently possess or may be unable to develop, acquire or scale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our asset management business may require significant expenditures, investments in personnel and systems, and substantial management attention before the business generates meaningful revenue. These efforts may divert personnel and other resources from our existing operations, disrupt our business, increase our fixed cost base and expose us to additional liabilities. The Initial Fund and any future products may be unable to raise sufficient investor capital, identify and consummate suitable investments, deploy committed capital successfully, generate competitive investment returns, develop products that are attractive to investors or achieve sufficient scale to operate the business profitably.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asset management business will achieve its anticipated strategic or financial benefits. A failure to develop and operate the business successfully could materially and adversely affect our business, financial condition, results of operations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asset management business depends on our ability to raise sufficient third-party capital and successor funds in a highly competitive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management fees and performance-based compensation will depend substantially on the ability of the Investment Manager and the General Partner to raise capital commitments from third-party investors for the Initial Fund and any successor funds or other investment products. Fundraising is subject to numerous factors outside our control, including general economic and financial-market conditions, interest rates, investor liquidity and asset-allocation decisions, the availability of distributions from investors’ existing private-market investments, investment performance and track record, the reputation and continued service of the relevant investment professionals, regulatory developments and the terms offered by competing investment products. The Initial Fund may not reach its target size, and its pool of eligible investors is limited by the private-offering and Investment Company Act of 1940, as amended (the “Investment Company Act”) exemptions on which it relies, which restrict participation to investors that satisfy specified eligibility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management industry is highly competitive. We and the Funds compete with established alternative asset managers, traditional asset managers, private equity and venture capital firms, financial institutions, family offices, corporate investors and other sponsors. Many competitors have longer operating histories, established investment records, broader distribution networks, greater financial and personnel resources, more developed compliance and operating infrastructure, and stronger relationships with institutional investors. Certain competitors may also offer lower fees, greater liquidity, more favorable investment terms, broader co-investment opportunities or products with different risk and return characteristics.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attract investors, the Investment Manager or the General Partner may reduce or waive management fees, reimburse or bear Fund expenses, provide preferential rights through side letters, offer co-investment opportunities or otherwise agree to terms that reduce the revenues or profitability of our asset management business. In addition, management fees from closed-end Funds may decline following the expiration of their investment periods or as invested capital is realized. The ability to maintain or grow management-fee revenue may therefore depend on the ability to raise successor Funds or other investment products before fees from existing Funds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raise sufficient fee-paying capital could reduce management fees, limit the ability to deploy capital and earn carried interest or other performance-based compensation, impair the ability to raise future Funds and leave our asset management business with an operating cost base that is disproportionate to its size. In addition, if limited partners default on or delay funding their capital commitments, a Fund’s ability to deploy capital could be impaired, and the General Partner or the Company may elect or agree to provide bridge funding or other support, and such Fund may seek to borrow or obtain other financing, any of which could adversely affect such Fund’s investments, the fees and performance-based compensation payable in respect of such Fund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Poor investment performance and the structure of our management fees and performance-based compensation could adversely affect our revenues and cause our results to be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revenues and other economic returns generated by our asset management business will depend on the amount of fee-paying capital or assets under management, the applicable fee rates, the investment performance of the Funds and the timing and amount of investment realizations. For the Initial Fund, management fees are payable to the Investment Manager and are based on each limited partner’s capital commitment during the Fund’s investment period and on invested capital thereafter, and carried interest is payable to the General Partner. The Company does not receive any management fees or carried interest directly; those economics are earned by the Investment Manager and the General Partner, respectively. Other current or future products may calculate fees on a different basis. Accordingly, increases or decreases in total capital commitments may not result in proportionate changes in management-fee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Carried interest, incentive fees, and other performance-based compensation generally depend on a Fund achieving specified investment returns or distribution thresholds. Because the Initial Fund has a long-term, multi-year investment period, any carried interest is long-dated and depends on the timing and amount of investment realizations; such compensation may not be earned for many years, may be concentrated in a limited number of periods and may vary materially. Newly formed Funds may generate little or no performance-based compensation while they deploy capital, and there can be no assurance that any Fund will generate returns sufficient for the General Partner to earn carried interest or for us to realize the related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investment performance could reduce the value of fee-paying assets, delay or eliminate performance-based compensation, cause investors to decline to invest in future Funds, result in demands for fee concessions and harm our reputation. Personnel, compliance, technology, insurance and other operating expenses of the asset management business may continue regardless of investment performance or the amount of capital raised.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may be required to return previously distributed carried interest pursuant to a fund-level clawback provision, the amount of which may be affected by investment losses, the timing of realizations, prior distributions, tax payments and the terms of the applicable Fund documents. Because the General Partner is our wholly-owned subsidiary, any such clawback or other repayment obligation would reduce amounts otherwise available to us and could adversely affect our liquidity and results of operations. As a result of these factors, the revenues and earnings generated by our asset management business may be volatile, difficult to predict and uneven from period to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Fund expects to invest primarily in technology-sector companies and assets, many of which may be private and illiquid. Its areas of focus may include artificial intelligence, defense technology, hardware, health technology, software and other technology-related solutions, although the Initial Fund has broad flexibility as to geography, strategy and asset class. A primary focus on private technology investments may heighten the volatility of the Initial Fund’s performance and increase valuation, exit and fundraising risk, because such investments are often illiquid, may take years to mature, may be difficult to value or realize and are subject to rapid technological, competitive and regulatory change. In addition, to the extent a Fund incurs indebtedness or uses bridge financing, such leverage may magnify investment losses and increase the Fund’s liquidity demands.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asset management activities subject us to extensive and evolving regulatory, fiduciary and compliance obligations and potential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management industry is subject to extensive and evolving federal, state and foreign regulation. Neither the Investment Manager nor the General Partner, each of which is our wholly-owned subsidiary, is currently registered as an investment adviser with the SEC, and the Investment Manager currently relies on exemptions from registration under applicable federal and state law. In connection with the proposed Silvia ETFs, the Investment Manager expects to register with the SEC as an investment adviser under the Advisers Act, and there can be no assurance that its registration will become effective on the anticipated timeline or at all. The General Partner may also become registered in the future, in its discretion or if required by applicable law, and there can be no assurance that any exemption on which the Investment Manager or the General Partner relies will remain available. Growth in regulatory assets under management, changes in the activities of the Investment Manager or the General Partner, or changes in applicable law could require registration or subject the asset management business to additional regulatory requirements. Depending on the nature and size of our activities, we or one or more of our subsidiaries could also become subject to investment-adviser or other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Fund is being offered in a transaction exempt from registration in reliance on Section 4(a)(2) and Regulation D of the Securities Act of 1933, as amended, and relies on the exemption from registration under the Investment Company Act provided by Section 3(c)(1) therein. The availability of these exemptions depends on compliance with numerous conditions, including that each investor satisfy applicable eligibility requirements, generally, that the investor be an “accredited investor” and a “qualified purchaser” or “knowledgeable employee,” as well as restrictions relating to the manner of offering Fund interests, the number and nature of investors, transfers of Fund interests and the activities of the Funds and their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management activities of the Investment Manager and the General Partner may subject them to fiduciary obligations and regulatory requirements and may expose us, through our ownership of them, to related compliance costs, liabilities and reputational risks, including requirements relating to, among other matters:</w:t>
      </w:r>
    </w:p>
    <w:p>
      <w:pPr>
        <w:pStyle w:val="TextBody"/>
        <w:bidi w:val="0"/>
        <w:spacing w:before="0" w:after="0"/>
        <w:ind w:left="0" w:right="0" w:hanging="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1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Marketing, advertising and presentation of investment performance;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Books and records and regulatory reporting;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Custody and safeguarding of assets;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Valuation of investments;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Allocation of investments, co-investments, fees and expenses;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involving affiliates;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Personal trading and political contributions;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Receipt and use of material nonpublic information;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Anti-money-laundering, sanctions and investor-identification controls;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Privacy, cybersecurity and protection of confidential investor information;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Pay-to-play restrictions;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Employee benefit plan and Employee Retirement Income Security Act of 1974, as amended matters; and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Disclosure and management of conflicts of interest.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requirements may require significant expenditures and substantial attention from management and other personnel. The applicable regulatory framework may change, and regulators may interpret existing requirements differently from us. The launch of additional Funds with different structures, investment strategies or investor bases could further increase the complexity and cost of the compliance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subsidiaries, the Investment Manager, the General Partner, and their respective directors, officers and employees could be subject to liability for errors of judgment, mistakes of law, breaches of fiduciary duty or other acts or omissions in connection with the management of the Funds. A failure to comply with applicable law, regulation or Fund documents could result in regulatory examinations or investigations, investor claims, litigation, fines, censures, disgorgement, limitations on activities, suspension or loss of registrations, disqualification from managing assets for certain investors, termination of advisory relationships and reputational harm. Any of these consequences could materially and adversely affect our business and our ability to raise and manage investor capital.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we use to seed, warehouse, or support our Funds may be illiquid and expose us to losses, reduce our liquidity, and increase the complexity and volatility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is expected to contribute all or substantially all of the Initial Fund’s initial capital, which may be used to make the Initial Fund’s initial investments and the Initial Fund’s initial expenses. As third-party investors are admitted at subsequent closings, a portion of the General Partner’s funded capital is expected to be returned. To the extent the General Partner or another of our subsidiaries provides such capital, that capital represents our capital and exposes us to the risks described in this risk factor.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determine, or be perceived by investors or counterparties as having an obligation, to provide additional capital or support to a Fund beyond the General Partner’s commitment and any pre-closing seed funding, which could include acquiring or warehousing additional investments, bridging investor capital contributions, making loans, or providing guarantees, indemnities or other financial support. We are under no obligation to provide any such additional support unless we agree to do so, and the nature and extent of any such support have not been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that we fund, directly or through the General Partner or another subsidiary, in or alongside the Funds may be illiquid, long-term in nature and subject to significant valuation uncertainty. There can be no assurance regarding the timing or amount of any return on such capital, we may be required to hold our positions for extended periods, the Funds may perform poorly, and we could lose some or all of the capital we invest. Capital used to fund the General Partner’s commitment or to seed, warehouse or otherwise support the Funds would not be available for our existing operations, debt service, acquisitions or other corporate purposes, which could adversely affect our liquidity and capital resources and may limit our ability to launch additional Funds or pursue other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required to consolidate the Initial Fund or any other sponsored investment product in our financial statements depends on our economic interests in, decision-making rights over and other relationships with the relevant vehicle. These determinations are complex, require the application of significant judgment and may change over time as our interests in or relationships with a Fund change. If we were required to consolidate a Fund or another sponsored investment product, the reported size and complexity of our balance sheet could increase, we could be required to recognize a Fund’s assets, liabilities, revenues, expenses and noncontrolling interests, and our reported results could become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Valuations of private and illiquid investments are subjective and may differ materially from the values ultimately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may invest in private companies and other assets for which readily observable market prices are unavailable or unreliable. For the Initial Fund, the General Partner will determine the value of the Fund’s assets at least quarterly, and in connection with distributions, in accordance with the Fund’s valuation policies, and the General Partner’s good-faith determinations of value are generally conclusive and binding under the Fund documents. The valuation of these investments requires the application of methodologies, estimates, assumptions and judgments concerning matters such as comparable public companies and transactions, projected financial performance, discount rates, capital structures, market conditions and the probability and timing of future financing, sale or liquidity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single standard for determining the fair value of a private or illiquid investment, and different market participants may assign materially different values to the same investment. Information used in a valuation may be incomplete, inaccurate or subsequently revised. The Initial Fund does not intend to commission periodic independent appraisals of its portfolio companies. Even if an administrator, appraisal firm or other third party were engaged to assist with the valuation process, doing so would not eliminate the subjective nature of that process or assure that a reported value will ultimately be realized.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ultimately realized upon the sale or other disposition of an investment may differ materially from its previously reported value. Valuations may affect, in each case to the extent applicable:</w:t>
      </w:r>
    </w:p>
    <w:p>
      <w:pPr>
        <w:pStyle w:val="TextBody"/>
        <w:bidi w:val="0"/>
        <w:spacing w:before="0" w:after="0"/>
        <w:ind w:left="0" w:right="0" w:hanging="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1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Reported Fund performance and net asset value;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fees and carried interest;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Allocations among investors;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 accounts;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admission of investors at subsequent closings;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In-kind distributions and other transactions involving Fund assets;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seed and co-investment balances; and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statements and results of operations.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auditors or regulators may disagree with the methodologies, assumptions or conclusions used in valuing Fund investments. Valuation errors or disputes could require adjustments to Fund financial statements, reimbursement of fees, changes to carried interest, repayment of previously distributed amounts, changes to our financial statements, litigation or regulatory action. Valuation issues could also impair investor confidence, harm our reputation and make it more difficult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Actual, potential or perceived conflicts of interest could adversely affect our Funds, their investors, our business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 management activities will create actual, potential and perceived conflicts among us and our subsidiaries, including the Investment Manager and the General Partner, our and their respective directors, officers and employees, the Funds, other investment vehicles and accounts, portfolio companies, co-investors, Fund investors and our public stockholders. In particular, Anthony Pompliano serves as our Chief Executive Officer and Chairman and is identified in the Initial Fund’s offering materials as the Chairman and Chief Executive Officer of the General Partner, the portfolio manager of the Investment Manager, and the Initial Fund’s key person. Other personnel may likewise have overlapping positions, responsibilities or economic interests and may be required to allocate their time and attention among our existing business, the Funds and other affiliated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may arise in connection with, among other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investment and co-investment opportunities;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personnel, time and other resources;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due-diligence, broken-deal, legal, compliance and other expenses;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among Funds, affiliated entities and portfolio companies;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Services provided by us or our affiliates to Funds or portfolio companies, and the fees received for those services;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Differences in management fees, carried interest and other economic arrangements among Funds;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Side letters and preferential rights granted to particular investors;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valuation of investments;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timing and terms of investment purchases, sales and distributions;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Continuation vehicles and other transactions that extend an investment’s holding period;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Personal investments made by our personnel or their affiliates;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receipt, sharing or use of material nonpublic information;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funding and subsequent return of General Partner or Company capital; and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responsibilities to public stockholders as compared with the fiduciary or contractual duties owed by the Investment Manager or the General Partner to the Funds and their investors.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fee structures and performance-based compensation arrangements may create an incentive to allocate opportunities to Funds or accounts that generate greater fees or carried interest. Carried interest may also create an incentive to cause a Fund to make investments with a higher risk of loss, dispose of investments at a particular time or hold investments for longer than would otherwise be the case. Conversely, investments made with capital provided by us may create incentives that differ from those relating to investments made primarily with third-party capital.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Manager and the General Partner may establish policies, procedures, information barriers and governance processes designed to identify and mitigate conflicts of interest, and we may seek review by independent directors, advisory committees or other bodies where appropriate. These measures may not identify or adequately address every conflict, and conflicts may not be resolved in favor of us, our public stockholders, a particular Fund or its investors. The duties of our directors and officers to us and our stockholders may differ from, and may conflict with, the fiduciary or contractual duties that the Investment Manager and the General Partner owe to the Funds and their investors. Actual or perceived failures to manage conflicts appropriately could result in investor dissatisfaction, loss of investor capital, adverse publicity, litigation, regulatory investigations or enforcement actions, impair the ability to raise future Funds and damage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asset management business depends on key personnel and our ability to attract and retain specialized professionals.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asset management business will depend substantially on the investment judgment, industry knowledge, reputation, relationships and continued service of a limited number of senior professionals, including Mr. Pompliano, who is the Initial Fund’s key person. Investors may commit capital to a Fund in significant part because of the identity, experience and perceived capabilities of particular investment professionals.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death of Mr. Pompliano, his removal, resignation or withdrawal from specified positions with the Investment Manager or the General Partner, or his inability to perform his advisory duties for a specified period, would constitute a key person event under the Initial Fund’s documents. Upon a key person event, the Initial Fund’s investment period would be suspended, and if the requisite investors do not approve one or more replacement principals or elect to reinstate the investment period within the applicable cure period, the investment period would terminate. A suspension or termination of the investment period would reduce the Initial Fund’s ability to deploy capital and could reduce future management fees and performance-based compensation. More generally, the death, disability, departure, reduced involvement or reputational impairment of a key professional could disrupt the management of existing Funds, impair investment sourcing and decision-making, adversely affect investment performance and make it more difficult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also need to recruit and retain qualified investment, finance, accounting, valuation, legal, compliance, tax, operations, information-technology and investor-relations professionals. Competition for experienced asset management personnel is significant, and established investment managers may have greater resources or be able to offer more attractive compensation, carried-interest participation, investment opportunities or professional-development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key personnel, an inability to recruit or retain qualified professionals, or a failure to develop and implement effective succession plans could materially and adversely affect the ability to manage the Funds, generate competitive investment returns, maintain investor relationships and grow our asset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Failures in our systems, controls or third-party service providers could disrupt our asset management business and expose us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 asset management business involves complex operational and financial processes, including investor onboarding, capital calls, cash management, investment and expense allocations, calculation of management fees and carried interest, maintenance of investor capital accounts, portfolio valuation, compliance testing, regulatory filings, investor reporting, tax reporting and administration of side-letter obligations.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systems, internal controls, policies and personnel may not be adequate to perform or support these functions accurately, consistently and on a timely basis. These risks are heightened by the material weakness in our internal control over financial reporting disclosed in Part I, Item 4 of this Quarterly Report, which relates to inadequate segregation of duties and effective risk assessment and insufficient written policies and procedures for accounting and financial reporting with respect to the requirements and application of both generally accepted accounting principles and SEC guidelines. This material weakness exists as of the date of this Quarterly Report and has not been remediated, and our expansion into asset management would add further operational and financial-reporting complexity while this weakness persists. Human error, inadequate segregation of duties, inaccurate or incomplete data, software defects, deficient policies, ineffective supervision, unauthorized transactions, cyber incidents or failures in communications among us and our service providers could result in:</w:t>
      </w:r>
    </w:p>
    <w:p>
      <w:pPr>
        <w:pStyle w:val="TextBody"/>
        <w:bidi w:val="0"/>
        <w:spacing w:before="0" w:after="283"/>
        <w:jc w:val="left"/>
        <w:rPr/>
      </w:pPr>
      <w:r>
        <w:rPr/>
        <w:t> </w:t>
      </w:r>
    </w:p>
    <w:tbl>
      <w:tblPr>
        <w:tblW w:w="5433" w:type="dxa"/>
        <w:jc w:val="left"/>
        <w:tblInd w:w="0" w:type="dxa"/>
        <w:tblLayout w:type="fixed"/>
        <w:tblCellMar>
          <w:top w:w="0" w:type="dxa"/>
          <w:left w:w="0" w:type="dxa"/>
          <w:bottom w:w="0" w:type="dxa"/>
          <w:right w:w="0" w:type="dxa"/>
        </w:tblCellMar>
      </w:tblPr>
      <w:tblGrid>
        <w:gridCol w:w="38"/>
        <w:gridCol w:w="11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Incorrect capital calls or distributions;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Errors in the calculation of fees or carried interest;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Inaccurate valuations, financial statements or investor reports;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Misallocation of investments, income, gains, losses or expenses;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Missed regulatory or tax filings;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Breaches of Fund documents or side letters;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or disclosure of confidential information;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Misappropriation or loss of assets; or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Violations of applicable law.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Funds expect to rely on third parties to perform significant functions for the Funds and our asset management business. These are expected to include a fund administrator engaged to provide services such as investor onboarding, calculation of management fees and carried interest, accounting, recordkeeping and tax reporting, as well as auditors, tax advisers, counsel, custodians, banks, brokers, data hosts and other providers. We may have limited ability to supervise the day-to-day operations, cybersecurity practices, personnel or financial condition of these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service provider’s operational error, system outage, cyber incident, failure to comply with law, misuse or loss of confidential information, misappropriation of assets, insolvency or termination of services could disrupt our operations, delay investor reporting or distributions, cause financial loss and expose us to investor claims or regulatory scrutiny. Alternative providers may not be available on acceptable terms or within the time required to avoid disruption. Contractual protections, indemnification rights and insurance may not fully protect us or the Funds from resulting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develop and maintain systems, controls and third-party oversight commensurate with the size and complexity of our asset management business could materially and adversely affect our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events involving our Funds, portfolio companies or asset management personnel could damage our reputation and subject us to litigation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will be important to our ability to raise and retain investor capital, recruit personnel, source investment opportunities and maintain relationships with regulators, service providers and other business partners. Poor investment performance, valuation disputes, inaccurate performance or marketing disclosures, investor-reporting failures, conflicts of interest, cybersecurity incidents, regulatory violations, employee or service-provider misconduct, or financial distress or misconduct at a portfolio company could adversely affect perceptions of us and our asset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Funds may use our name, personnel, relationships or other resources, adverse events involving a Fund, its portfolio companies or an affiliated asset management entity may be attributed to us even where we did not directly cause the event or are not legally responsible for the resulting loss. Negative publicity may spread rapidly and could damage our reputation disproportionately to the financial significance of the underlying Fund or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personnel, or affiliated entities may be named in litigation, arbitration, regulatory investigations or other proceedings involving the Funds, Fund investors, portfolio companies, co-investors, service providers or counterparties. Our personnel may also serve as directors, managers or observers of portfolio companies, which could expose them and us to claims relating to the conduct or financial condition of those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may be required to indemnify the Investment Manager, the General Partner and their respective personnel, and we may have separate indemnification obligations to our own directors, officers, employees or affiliates. Because the Investment Manager and the General Partner are our wholly-owned subsidiaries, liabilities incurred by them could adversely affect our financial condition and results of operations, and available Fund indemnification may be unavailable or insufficient. The Funds and their portfolio companies are separate legal entities. Defense costs, settlements, judgments, indemnification obligations, regulatory sanctions and the diversion of management attention could be material to us, whether borne directly, through our subsidiaries or through harm to our management focus or reputation. Available insurance may be subject to exclusions, deductibles and coverage limits and may not cover all resulting losses.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Expansion into 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the exchange-traded fund (“ETF”) business is a new initiative, and the proposed Silvia ETFs may not launch when expected, attract sufficient assets or generate meaningful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Tidal Trust IV (the “ETF Trust”), a Delaware statutory trust that is not affiliated with the Company, filed a registration statement on Form N-1A with the SEC (File No. 333-285633) with respect to five proposed actively managed ETFs Silvia Anti-Money Printer ETF, Silvia Best Ideas ETF, Silvia Elon ETF, Silvia Bitcoin mNAV Discount ETF, and Silvia Jensen Interview ETF (collectively, the “Silvia ETFs”). The Investment Manager, in its proposed capacity as investment sub-adviser to the Silvia ETFs (the “Sub-Adviser”), is expected to provide portfolio-management services to the Silvia ETFs.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remains subject to SEC review and comment and may be amended, delayed or withdrawn. No Silvia ETF may commence operations until the registration statement with respect to that series has become effective, the shares of that series have been approved for listing on a national securities exchange, and the applicable distribution and operational arrangements are in place. The SEC staff may require changes to the names, investment strategies, disclosure or other features of the proposed Silvia ETFs, including under Rule 35d-1 under the Investment Company Act (the “Names Rule”) to the extent applicable to the final fund names and strategies, and there can be no assurance that any Silvia ETF will launch on the anticipated timeline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Silvia ETF must qualify to rely on Rule 6c-11 under the Investment Company Act and satisfy the initial and continued listing requirements of its primary listing exchange. Rule 6c-11 requires, among other things, daily portfolio transparency and written policies and procedures governing the construction and acceptance of baskets. A failure to satisfy Rule 6c-11 or applicable exchange requirements, an inability to provide required portfolio information, or an inability to operate an effective creation and redemption process could delay the launch of a Silvia ETF, result in a trading halt or delisting, increase premiums and discounts to net asset value, or require changes to the fund’s investment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operating history providing sub-advisory services to registered investment companies. Even if the proposed Silvia ETFs launch, they may fail to attract sufficient assets under management (“AUM”) to be economically viable. The ETF industry is intensely competitive and is dominated by asset managers with substantially greater scale, distribution networks, brand recognition and financial resources, and is characterized by ongoing fee compression. ETFs that do not achieve sufficient scale may be closed, liquidated, or deregistered, and the board of trustees of the ETF Trust (the “Fund Board”) may close or liquidate any Silvia ETF at any time, in accordance with applicable law and the fund’s governing documents. Launch costs, marketing expenses and any expense obligations we agree to bear may exceed the sub-advisory fee revenue generated by the Silvia ETFs for an extended period or indefinitely.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depend on the Adviser and other third parties to operate the Silvia ETFs, and our sub-advisory arrangements may be terminated on short notice without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Silvia ETFs are expected to operate under a white-label structure in which Tidal Investments LLC (the “Adviser”) serves as investment adviser to the Silvia ETFs and the ETF Trust engages third-party service providers, including a distributor, administrator, custodian and transfer agent, none of which we control or select. The Sub-Adviser is expected to provide portfolio management services to the Silvia ETFs pursuant to sub-advisory agreements with the Adviser and the ETF Trust, subject to the supervision and oversight of the Adviser and the Fund Board. Failure, disruption, insolvency, regulatory issue or termination involving the Adviser, the ETF Trust, or their service providers could disrupt or delay the operations of the Silvia ETFs and adversely affect our ETF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Investment Company Act, each sub-advisory agreement must be approved by the Fund Board, including a majority of the trustees who are not interested persons of the ETF Trust, must be approved at least annually after an initial term of up to two years, terminates automatically upon assignment and may be terminated without penalty by the Fund Board or by a vote of a majority of the applicable fund’s outstanding voting securities on not more than 60 days’ written notice. The ETF Trust and the Adviser have received exemptive relief permitting the Adviser, subject to approval by the Fund Board and other conditions, to hire, replace or terminate unaffiliated sub-advisers and materially amend unaffiliated sub-advisory agreements without obtaining the applicable Silvia ETF shareholder approval. Silvia ETF shareholders will be required to receive notice of a change in sub-adviser. Accordingly, the Adviser and the Fund Board may replace the Sub-Adviser without the applicable Silvia ETF shareholder vote, and the loss or non-renewal of the sub-advisory relationship could eliminate anticipated fee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Board owes fiduciary duties to the Silvia ETFs and their shareholders, and not to the Company or our stockholders. The Fund Board or the Adviser could decline to renew, terminate or replace the Sub-Adviser, or seek different fee or service arrangements, in each case without our consent or regard to the interests of the Company or its stockholders. The loss, termination or non-renewal of a sub-advisory relationship, or a deterioration in our relationship with the Adviser, could prevent us from earning, or materially reduce, anticipated sub-advisory fee revenue.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Serving as sub-adviser to registered investment companies will require SEC registration of our advisory subsidiary and will subject us to additional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adviser or sub-adviser to a registered investment company generally must be registered with the SEC under the Investment Advisers Act of 1940 (the “Advisers Act”) and may not rely on the exemptions from registration on which the Investment Manager currently relies in connection with our private fund business. The Investment Manager expects to file Form ADV to register with the SEC, and its registration would need to be effective before it may serve as sub-adviser to the Silvia ETFs. An investment adviser’s registration generally becomes effective within 45 days after it files Form ADV, unless the SEC institutes proceedings to determine whether registration should be denied. Any delay in registration could delay the launch of the Silvia ETFs.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registration, the Sub-Adviser will be subject to applicable requirements of the Advisers Act and to SEC examination authority and potential examinations, including fiduciary obligations, compliance program requirements under Rule 206(4)-7, the marketing rule under Rule 206(4)-1, code of ethics and personal trading requirements, books-and-records requirements, custody-related requirements, and periodic SEC examinations. The Sub-Adviser is not expected to take physical possession of the assets of any Silvia ETF, which are expected to be held by the ETF Trust’s custodian. The Sub-Adviser also expects to perform delegated responsibilities supporting the Silvia ETFs’ compliance with applicable Investment Company Act requirements, including Rule 6c-11 (ETF operations and portfolio transparency), Rule 22e-4 (liquidity risk management), Rule 18f-4 (derivatives), Rule 2a-5 (fair valuation) and the Names Rule, in each case as and to the extent those responsibilities are allocated to it under the sub-advisory agreements. In addition, the compensation received by the Sub-Adviser for its services would be subject to Section 36(b) of the Investment Company Act, which imposes a fiduciary duty with respect to the receipt of compensation and may be enforced through private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requirements will require additional expenditure and personnel and will expand our regulatory examination and enforcement exposure, and any failure to comply could result in fines, censures, disgorgement, limitations on our activities, suspension or revocation of registration and reputational harm. The material weakness in our internal control over financial reporting described in Part I, Item 4 of this Quarterly Report has not been remediated and may complicate the buildout of the financial-reporting and compliance processes required to support the proposed ETF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under the Advisers Act applies at the adviser level and is not limited to the Investment Manager’s activities as Sub-Adviser to the Silvia ETFs. Upon registration, the Investment Manager’s advisory activities with respect to the Funds, including the Initial Fund, will also become subject to the Advisers Act, including the marketing rule, the custody rule, the compliance rule, books-and-records and reporting requirements and SEC examination authority. Compliance with these requirements with respect to our existing private fund business will require additional expenditure and personnel and may require changes to our existing marketing materials, valuation practices, expense allocation practices and fund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proposed Silvia ETFs reference third-party individuals, companies and publications that have not sponsored or endorsed the funds, which exposes us to intellectual property, right-of-publicity and regulatory risks, including potential forced renaming.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proposed Silvia ETFs are expected to be named for, or to employ investment strategies based on public statements by or public information about, third parties, including prominent business executives, the companies they lead, and investment ideas published by Opening Bell Daily, LLC’s (“ the Opening Bell”) Best Ideas Club. Except as described under “Our ETF business presents actual and potential conflicts of interest” below with respect to the license from the Opening Bell, none of the referenced individuals or entities sponsors, endorses, manages or participates in the Silvia ETFs. A license to use content or other intellectual property does not mean that the licensor sponsors or endorses a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individuals or entities, or persons acting on their behalf, could assert claims based on rights of publicity, trademark, unfair competition, false endorsement or similar theories, object publicly to the funds, or take actions, including changes in their public activities, roles or communications, that impair the relevant fund’s strategy or viability. Defending such claims could be costly regardless of merit, and an adverse outcome, SEC staff comment or third-party objection could require the renaming, restructuring or abandonment of one or more proposed Silvia ETFs.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strategies that rely on third-party publications or public statements depend on the continued availability, timeliness, continuity and quality of that source material, none of which we control. A cessation, reduction, delay or change in the relevant content, the termination or narrowing of any applicable license, or a dispute regarding permitted use of transcripts, datasets or other materials could force changes to, or the closure of, the affected fund.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ETF business presents actual and potential conflicts of interest, including conflicts arising from our Chief Executive Officer’s media activities and ownership interests and from overlapping Bitcoin-related exposures.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Chairman, is a co-founder of, and holds an ownership interest in, the Opening Bell, a financial media publisher, through Inflection Points, Inc. On August 12,2026, the Sub-Adviser entered into a license agreement with the Opening Bell pursuant to which the Sub-Adviser licenses the research service on which the investment universe of the Silvia Best Ideas ETF is based. As the sole consideration for the license, Sub Adviser will pay the Opening Bell an annual rate of 0.02% of the average daily net assets of the Silvia Best Ideas ETF (“Royalty”). The Royalty shall accrue only with respect to periods during which this Agreement is in effect and the Silvia Best Ideas ETF is operational. The license was reviewed and approved by the Audit Committee in accordance with our related person transaction policy. Our Chief Executive Officer and Chairman does not receive any economic benefit from the license other than indirectly through his ownership interest in Opening Bell.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arrangement creates actual and potential conflicts of interest, including with respect to the editorial independence of the underlying publication and the possibility that our Chief Executive Officer’s media activities could be attributed to, or perceived as promoting, the proposed Silvia ETFs. In addition, the license arrangement and the operation and marketing of the Silvia Best Ideas ETF may increase the visibility of, and lead to an increase in paid subscriptions to, the Opening Bell’s publications, which could provide indirect benefits to our Chief Executive Officer through his ownership interests that are not reflected in the Royalty.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regularly makes public statements about markets, digital assets and individual companies through media channels, and one or more Silvia ETFs may hold, purchase or sell securities of companies that are the subject of those statements. An investment adviser that publicly recommends a security in which it or its clients hold a position, or in which it intends to transact, without adequate disclosure may violate the anti-fraud provisions of the Advisers Act. Coordinating the timing and content of our Chief Executive Officer’s public commentary with the trading activity of the Silvia ETFs, the Funds and our own treasury operations will require policies, information barriers and pre-clearance procedures that we have not previously been required to maintain. Any failure of those procedures, or any allegation that our Chief Executive Officer’s commentary was used to influence the price of a security held by a Silvia ETF, by a Fund or by us, could result in SEC enforcement action, private litigation, termination of the sub-advisory agreements and substantial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hold Bitcoin as a long-term treasury reserve asset, the Investment Manager advises the Funds and, through the Silvia ETFs, the Sub-Adviser expects to provide sub-advisory services to registered funds that may invest in Bitcoin-related equities, including investing in other bitcoin treasury companies. Investment Company Act restrictions may prohibit one or more Silvia ETFs from investing in our securities or securities of certain other entities affiliated with us or the Sub-Adviser, including the Silvia Bitcoin mNAV Discount ETF and any other Silvia ETF that invests in bitcoin treasury companies. As a result, such securities may be excluded from the eligible investment universe of the applicable Silvia ETF even if they otherwise satisfy its investment criteria, which could cause that fund’s portfolio to differ from the portfolio that its stated methodology or investment process would otherwise produce. Those restrictions may also limit the investment universe otherwise available to a Silvia ETF, including with respect to other bitcoin treasury companies that are affiliated with us, and may cause a fund’s portfolio to differ from the portfolio its stated methodology would otherwise produce. Notwithstanding those restrictions, our corporate treasury activities, the Funds and the Silvia ETFs may transact in the same or related issuers, instruments or Bitcoin-related exposures, creating conflicts relating to the allocation of investment opportunities, the timing of transactions and the use and control of material nonpublic information. Our policies and procedures may not identify or mitigate every conflict, and actual or perceived failures to manage these conflicts could result in regulatory scrutiny or action, litigation, investor outflows or redemptions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 from our ETF business will depend on AUM and fee rates, will fluctuate with market prices, including the price of Bitcoin, and may increase the correlation of our results to digital asset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sub-advisory fees we earn are expected to be calculated as a percentage of the average daily net assets of each Silvia ETF’s AUM and paid out of the Adviser’s unitary management fee. The Company would not receive sub-advisory fees directly; those economics would be earned by the Investment Manager, our wholly-owned subsidiary, and would be reflected in our consolidated results. AUM, and therefore our fee revenue, will fluctuate with market prices, investment performance and creations and redemptions of fund shares, and could decline rapidly during market downturns.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of the proposed Silvia ETFs are expected to have substantial exposure to Bitcoin-related equities or other volatile assets. Because we also hold Bitcoin directly as a treasury reserve asset, a decline in the price of Bitcoin could simultaneously reduce the fair value of our digital asset holdings, the AUM and related fee revenue of the Silvia ETFs and demand for our other products, compounding the effect of digital asset market volatility on our results of operations. Poor investment performance by any Silvia ETF could also cause outflows, damage the Silvia brand across our consumer platform and other business lines and impair our ability to launch future products. A registered fund is generally required to have a net worth of at least $100,000 before it may make a public offering of its shares, and each Silvia ETF will therefore require seed capital. We anticipate that third parties will provide seed capital for each Silvia ETF, however, we or our affiliates may provide seed capital to the Silvia ETFs. Any seed capital we provide will be exposed to the relevant fund’s investment performance, may be illiquid, will not be available for our existing operations or other corporate purposes, and could require us to consolidate the fund in our financial statements for so long as our ownership remains controlling, which would increase the reported size, complexity and volatility of our balance sheet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ETFs are expected to employ novel and complex investment strategies, which increase operational, valuation, liquidity and compliance risks for which the Sub-Adviser may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ETFs are expected to employ novel, actively managed strategies, each of which presents the strategy-specific risks described below. These strategies collectively present heightened risks relating to the valuation of illiquid or hard-to-value assets, compliance with the Investment Company Act limits on illiquid investments and each fund’s liquidity risk management program, derivatives risk management and counterparty exposure, methodology design and execution errors, and market-price deviations from net asset value and impaired arbitrage in fund shares. In addition, each proposed Silvia ETF is expected to be non-diversified, which means that the underperformance of a small number of positions could disproportionately reduce a fund’s AUM and our related fee revenue. The nature and allocation of valuation, liquidity, derivatives and compliance responsibilities will depend on the final governing agreements and applicable fund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trading or valuation errors or compliance failures by the Sub-Adviser could result in reimbursement obligations, regulatory sanctions, litigation, termination of the sub-advisory agreements and reputational harm, and we may incur liabilities that are not covered by indemnification or insurance. The Sub-Adviser will owe fiduciary duties to the Silvia ETFs under the Advisers Act, and its compensation arrangements may be subject to claims under Section 36(b) of the Investment Company Act, in each case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Anti-Money Printer ETF’s multi-theme strategy exposes the fund, and our related fee revenue, to risks specific to each of its investment categories, including reputational and distribution risks associated with the firearms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Anti-Money Printer ETF is expected to allocate its assets among four investment sleeves, including productive land, firearms and ammunition, Bitcoin miners, Bitcoin exchange-traded products, Bitcoin exposure, gold exchange-traded products, gold miners and gold exposure. Each sleeve presents distinct risks, and the fund’s allocations among sleeves may vary over time. The fund is expected to obtain exposure to these sleeves through securities and other instruments permitted for a registered investment company rather than through direct ownership of the underlying assets. Land-related issuers, including REITs and royalty companies, are sensitive to interest rates, commodity and land prices and real estate market conditions, and any investment in publicly traded partnerships would present additional tax and liquidity considerations. Issuers and instruments providing Bitcoin-related exposure are subject to the digital asset market risks described elsewhere in this Item 1A, and gold-related issuers and instruments are sensitive to gold prices, production costs and operational and geopolitical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firearms and ammunition exposure also presents risks to us. Firearms and ammunition manufacturers, suppliers and retailers are subject to extensive and changing federal, state and local regulation, litigation risk and significant political and social controversy. In addition, certain broker-dealers, distribution platforms, model-portfolio providers and institutional investors restrict or decline to offer, recommend or hold funds with firearms exposure, and the fund may become subject to similar restrictions. Restrictions of that kind could limit the fund’s distribution and reduce its AUM, and the fund’s association with the firearms industry could subject the Silvia brand, our consumer platform and our other business lines to negative publicity, boycotts or the loss of commercial relationships, whether or not the fund itself performs as intended.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Best Ideas ETF’s investment universe is defined by a single third-party research publication, and the fund invests in ideas only after they have been publicly disseminated.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Best Ideas ETF is expected to select investments from single-stock ideas published in the Best Ideas Club, a subscription research service of the Opening Bell, pursuant to the license arrangement described under “Our ETF business presents actual and potential conflicts of interest” above. The fund’s investment universe would therefore depend on the volume, quality and continuity of ideas published by a single publication that we do not control. If the Best Ideas Club publishes fewer ideas, changes its format or editorial approach, or ceases publication, or if the applicable license is terminated or narrowed, the fund may be unable to implement its strategy and may be required to change its strategy or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investment ideas are published to the Best Ideas Club’s subscribers before the fund is able to trade, market prices may already reflect the published idea by the time the fund establishes a position, and other market participants may trade ahead of, alongside or against the fund. The investors whose ideas are featured owe no duty to the fund, may hold economic interests or hedges that differ from their published views, and may exit or reverse a position without timely public disclosure. The fund’s general 12-month target holding period may also cause it to continue to hold positions after the originating thesis is no longer current. Underperformance attributable to these features could cause outflows or the closure of the fund and, because of our Chief Executive Officer’s ownership interest in the Opening Bell, could attract disproportionate scrutiny of the related license arrangement and of our management of the associated conflicts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Bitcoin mNAV Discount ETF’s methodology may not identify undervalued issuers, and its investable universe is limited, concentrated and composed of smaller, less liquid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Bitcoin mNAV Discount ETF is expected to invest in Bitcoin treasury companies whose fully diluted market capitalization is below the value of their Bitcoin holdings, based on a market-to-net-asset-value methodology. A discount of this kind describes a mathematical relationship and does not mean that an issuer’s securities are undervalued or that they will appreciate. Discounts may persist or widen for extended periods, including because of an issuer’s leverage, capital structure, governance, operating losses or limited liquidity, and issuers trading at a discount may continue to underperform notwithstanding the methodology’s screening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eligibility thresholds are expected to permit investment in small- and micro-capitalization issuers with limited trading volume, which present heightened volatility, liquidity and transaction cost risks, and the universe of eligible Bitcoin treasury companies is limited and may contract as a result of acquisitions, delistings, changes in issuer treasury strategies or a broader loss of investor interest in the Bitcoin treasury company model. The fund’s mandatory removal triggers may require sales at disadvantageous times or prices, and the fund is expected to have a high portfolio turnover rate, which increases transaction costs. In addition, because we have adopted a Bitcoin treasury strategy and hold Bitcoin as a long-term treasury reserve asset, underperformance of the fund or adverse developments affecting Bitcoin treasury companies generally could be perceived as reflecting on the viability of our own Bitcoin treasury strategy, compounding the reputational and financial effects on the Company beyond the loss of fee revenue.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Elon ETF concentrates its exposure in companies associated with a single individual and may hold private investments and derivatives that present valuation, liquidity and counterparty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Elon ETF is expected to concentrate its exposure in companies founded, managed or controlled by a single individual, Elon Musk, the Chief Executive Officer of Space Exploration Technologies Corp. The values of these companies may be highly correlated, and developments involving Mr. Musk, including death, incapacity, litigation, regulatory action, reputational events or changes in his roles, holdings or public activities, could cause simultaneous declines across the fund’s portfolio. In addition, a change in Mr. Musk’s relationship with an issuer could cause the issuer to cease to satisfy the fund’s qualification criteria, requiring the fund to dispose of, or terminate derivatives referencing, the position at disadvantageous times or prices. The fund also may obtain exposure through total return swaps and other derivatives, which present counterparty credit risk and may require the fund to hold significant cash and cash equivalents as collateral, which may create a drag on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Silvia ETF may hold privately held companies and related instruments in an amount approaching the 15% limit on illiquid investments imposed by Rule 22e-4 under the Investment Company Act, changes in the value of the fund’s liquid holdings, redemption activity or a reclassification of an investment’s liquidity could cause the fund to exceed that limit without any purchase by the Sub-Adviser. Exceeding the limit would require reporting to the Fund Board and to the SEC and could require the fund to dispose of investments at disadvantageous prices, and repeated or prolonged breaches could result in regulatory action against, or termination of, the Sub-Adviser. In addition, investments in privately held companies and special purpose vehicles may also be subject to contractual restrictions on transfer or disclosure, may not be eligible to be transferred in-kind in connection with creations or redemptions, and may require the relevant ETF to use cash transactions. These features could increase transaction costs, taxable gains, valuation uncertainty and dilution and could impair the arbitrage mechanism for the ETF’s shares. Investments through special purpose vehicles may also expose the ETF to additional fees and expenses and may provide the ETF with fewer voting, information, governance or other rights than it would have if it held the underlying investment 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held investments are also hard to value, and the Sub-Adviser’s valuation-related responsibilities with respect to these investments present a heightened risk of valuation errors, which could result in reimbursement obligations, regulatory action or litigation for which we may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Jensen Interview ETF’s investment process depends on the continued availability, and the Sub-Adviser’s interpretation, of public statements by a single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Jensen Interview ETF is expected to select investments based on the Sub-Adviser’s analysis of a corpus of broadly disseminated public statements by a single executive, Jensen Huang, the Chief Executive Officer of NVIDIA, during rolling monthly periods. The strategy depends on the continued volume, frequency and substance of Mr. Jensen’s public commentary, none of which we control. If Mr. Jensen reduces or ceases public commentary, changes roles, or becomes subject to restrictions on his public statements, the corpus may contain few or no qualifying statements, the fund’s portfolio may become less representative of its stated strategy, and the fund may be required to change its strategy or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Sub-Adviser will exercise judgment in determining whether a public statement reflects an investment view relevant to the fund and whether, when and to what extent to implement that view. The Sub-Adviser is not required to purchase or sell a security solely because Mr. Jensen has made a statement concerning the security, its issuer or a related investment. Public statements may be ambiguous, incomplete, hypothetical, humorous, subsequently edited, deleted, clarified or withdrawn, and the Sub-Adviser may interpret a statement differently from other market participants. Errors or delays in identifying, transcribing, attributing or interpreting public statements, including because of third-party data, social-media or technology failures, could cause the fund to make investment decisions that differ from those that would have been made if complete and accurate information had been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fund is expected to concentrate in semiconductor, artificial intelligence infrastructure and related sectors, the values of which may be highly correlated with one another and with developments affecting a small number of large technology companies. A downturn in these sectors, or execution errors in the corpus methodology, could reduce the fund’s AUM and our related fee revenue and expose the Sub-Adviser to claims relating to the design or implementation of the fund’s investment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ETF business will depend on a limited number of investment professionals who also support our other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Pompliano is expected to be identified in the registration statement as the portfolio manager of the Silvia ETFs. He is expected to be responsible for the Silvia ETFs, the Funds and our corporate treasury activities, and Mr. Pompliano also serves as our Chief Executive Officer and Chairman and as the Initial Fund’s key person. Managing registered investment companies requires daily portfolio management, trading, liquidity classification, valuation and compliance testing, and the addition of five registered portfolios will substantially increase the demands on this professional.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for experienced personnel qualified to manage registered funds is significant, and we may be unable to recruit or retain the investment, compliance, operations and valuation professionals the ETF business will require. The departure, incapacity or reduced availability of any of these professionals, or a determination by the Adviser or the Fund Board that our resources are insufficient to support the Silvia ETFs, could result in the termination or non-renewal of the sub-advisory agreements, and could simultaneously disrupt the Funds, our corporate treasury activities and our other business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developments involving the Silvia ETFs could damage our brand and other business lines even where we are not responsible for the underlying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ETFs are expected to use the Silvia name, which is central to our consumer platform. Poor performance, fund closures, regulatory matters, litigation, disputes involving referenced third parties or negative publicity involving any Silvia ETF, the ETF Trust, the Adviser or their service providers may be attributed to us even if we did not cause the event or are not legally responsible for the resulting loss, and could damage our reputation, our consumer platform, our asset management business and our ability to raise capital, in each case disproportionately to the financial significance of the underlying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is not an offer to sell or the solicitation of an offer to buy shares of any Silvia ETF, and shall not constitute an offer, solicitation or sale in any jurisdiction in which such offer, solicitation or sale would be unlawful. Any offering of shares of a Silvia ETF will be made only by means of a prospectus. We are not the issuer of, and do not offer, shares of any Silvia ETF.</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 of Equity Securities</w:t>
      </w:r>
    </w:p>
    <w:p>
      <w:pPr>
        <w:pStyle w:val="TextBody"/>
        <w:bidi w:val="0"/>
        <w:spacing w:before="0" w:after="0"/>
        <w:jc w:val="center"/>
        <w:rPr>
          <w:caps w:val="false"/>
          <w:smallCaps w:val="false"/>
        </w:rPr>
      </w:pPr>
      <w:r>
        <w:rPr>
          <w:caps w:val="false"/>
          <w:smallCaps w:val="false"/>
        </w:rPr>
        <w:t> </w:t>
      </w:r>
    </w:p>
    <w:tbl>
      <w:tblPr>
        <w:tblW w:w="9396" w:type="dxa"/>
        <w:jc w:val="left"/>
        <w:tblInd w:w="0" w:type="dxa"/>
        <w:tblLayout w:type="fixed"/>
        <w:tblCellMar>
          <w:top w:w="0" w:type="dxa"/>
          <w:left w:w="0" w:type="dxa"/>
          <w:bottom w:w="0" w:type="dxa"/>
          <w:right w:w="0" w:type="dxa"/>
        </w:tblCellMar>
      </w:tblPr>
      <w:tblGrid>
        <w:gridCol w:w="2555"/>
        <w:gridCol w:w="60"/>
        <w:gridCol w:w="100"/>
        <w:gridCol w:w="1419"/>
        <w:gridCol w:w="60"/>
        <w:gridCol w:w="60"/>
        <w:gridCol w:w="372"/>
        <w:gridCol w:w="1132"/>
        <w:gridCol w:w="60"/>
        <w:gridCol w:w="60"/>
        <w:gridCol w:w="103"/>
        <w:gridCol w:w="1476"/>
        <w:gridCol w:w="60"/>
        <w:gridCol w:w="60"/>
        <w:gridCol w:w="356"/>
        <w:gridCol w:w="1388"/>
        <w:gridCol w:w="75"/>
      </w:tblGrid>
      <w:tr>
        <w:trPr/>
        <w:tc>
          <w:tcPr>
            <w:tcW w:w="25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Purchased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per Share(1)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Purchased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Part of Publicly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Program(2)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Dollar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May Yet Be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Purchased Under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Program(2)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2026 to April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2026 to May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2026 to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570,974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570,974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2,570,974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2,570,974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commissions.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Board of Directors of the Company approved the $100 million 2025 Repurchase Program. The 2025 Repurchase Program has no expiration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Arrangements During the quarterly period ended June 30, 2026, none of our directors or officers (as defined in Rule 16a-1(f) promulgated under the Exchange Act) adopted or terminated any “Rule 10b5-1 trading arrangement” or any “non-Rule 10b5-1 trading arrangement,” as each term is defined in Item 408(a)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exi_001"/>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4"/>
        <w:gridCol w:w="60"/>
        <w:gridCol w:w="9381"/>
      </w:tblGrid>
      <w:tr>
        <w:trPr/>
        <w:tc>
          <w:tcPr>
            <w:tcW w:w="76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Business Combination Agreement, dated as of June 23, 2025, by and among CCCM, the Company, ProCap, SPAC Merger Sub, Company Merger Sub and Professional Capital Management (incorporated by reference to Exhibit 2.1 to CCCM’s Current Report on Form 8-K, filed with the SEC on June 27, 2025).</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First Amendment to the Business Combination Agreement, dated as of July 28, 2025, by and among CCCM, the Company, ProCap, SPAC Merger Sub, Company Merger Sub and Professional Capital Management (incorporated by reference to Exhibit 2.1 to CCCM’s Current Report on Form 8-K, filed with the SEC on July 28, 2025).</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Agreement and Plan of Merger, dated as of February 9, 2026, by and among the Company, Silvia Merger Sub, Inc., CFO Silvia, Inc., Inflection Points Inc., Shain Noor, and Shain Noor as Stockholder Representative (incorporated by reference to Exhibit 2.1 to the Company’s Current Report on Form 8-K, filed with the SEC on February 9, 2026).</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and Restated Certificate of Incorporation of the Company (incorporated by reference to Exhibit 3.1 to the Company’s Current Report on Form 8-K, filed with the SEC on December 11, 2025).</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Amended and Restated By-Laws of the Company (incorporated by reference to Exhibit 3.2 to the Company’s Current Report on Form 8-K, filed with the SEC on December 11, 2025).</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Warrant Agreement, dated May 15, 2025, by and between CCCM and Continental Stock Transfer &amp; Trust Company, as warrant agent (incorporated by reference to Exhibit 4.1 to CCCM’s Current Report on Form 8-K, filed with the SEC on May 20, 2025).</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Warrant Assignment, Assumption and Amendment Agreement, dated December 5, 2025, by and among Continental Stock Transfer &amp; Trust Company, as Public Warrant Agent, CCCM and the Company (incorporated by reference to Exhibit 4.2 to the Company’s Current Report on Form 8-K, filed with the SEC on December 11, 2025).</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Amendment to the ProCap Financial, Inc. 2025 Equity Incentive Plan (incorporated by reference to Exhibit 99.2 to the Company’s Registration Statement on Form S-8, filed with the SEC on May 18, 2026).</w:t>
              </w:r>
            </w:hyperlink>
          </w:p>
        </w:tc>
      </w:tr>
      <w:tr>
        <w:trPr/>
        <w:tc>
          <w:tcPr>
            <w:tcW w:w="764" w:type="dxa"/>
            <w:tcBorders/>
            <w:tcMar>
              <w:bottom w:w="0" w:type="dxa"/>
            </w:tcMar>
            <w:vAlign w:val="center"/>
          </w:tcPr>
          <w:p>
            <w:pPr>
              <w:pStyle w:val="TableContents"/>
              <w:bidi w:val="0"/>
              <w:spacing w:before="0" w:after="283"/>
              <w:jc w:val="left"/>
              <w:rPr>
                <w:sz w:val="20"/>
              </w:rPr>
            </w:pPr>
            <w:r>
              <w:rPr>
                <w:sz w:val="20"/>
              </w:rPr>
              <w:t>10.2†</w:t>
            </w:r>
          </w:p>
        </w:tc>
        <w:tc>
          <w:tcPr>
            <w:tcW w:w="60" w:type="dxa"/>
            <w:tcBorders/>
            <w:tcMar>
              <w:bottom w:w="0" w:type="dxa"/>
            </w:tcMar>
            <w:vAlign w:val="center"/>
          </w:tcPr>
          <w:p>
            <w:pPr>
              <w:pStyle w:val="TableContents"/>
              <w:bidi w:val="0"/>
              <w:spacing w:before="0" w:after="283"/>
              <w:jc w:val="left"/>
              <w:rPr/>
            </w:pPr>
            <w:r>
              <w:rPr/>
              <w:t> </w:t>
            </w:r>
          </w:p>
        </w:tc>
        <w:tc>
          <w:tcPr>
            <w:tcW w:w="9381" w:type="dxa"/>
            <w:tcBorders/>
            <w:tcMar>
              <w:bottom w:w="0" w:type="dxa"/>
            </w:tcMar>
            <w:vAlign w:val="center"/>
          </w:tcPr>
          <w:p>
            <w:pPr>
              <w:pStyle w:val="TableContents"/>
              <w:bidi w:val="0"/>
              <w:spacing w:before="0" w:after="283"/>
              <w:jc w:val="both"/>
              <w:rPr/>
            </w:pPr>
            <w:hyperlink r:id="rId10">
              <w:r>
                <w:rPr>
                  <w:rStyle w:val="InternetLink"/>
                  <w:sz w:val="20"/>
                </w:rPr>
                <w:t>Employment Agreement, dated as of April 3, 2026, by and between ProCap Financial, Inc. and Shain Noor (incorporated by reference to Exhibit 10.1 to the Company’s Current Report on Form 8-K, filed with the SEC on April 6, 2026).</w:t>
              </w:r>
            </w:hyperlink>
          </w:p>
        </w:tc>
      </w:tr>
      <w:tr>
        <w:trPr/>
        <w:tc>
          <w:tcPr>
            <w:tcW w:w="764" w:type="dxa"/>
            <w:tcBorders/>
            <w:tcMar>
              <w:bottom w:w="0" w:type="dxa"/>
            </w:tcMar>
            <w:vAlign w:val="center"/>
          </w:tcPr>
          <w:p>
            <w:pPr>
              <w:pStyle w:val="TableContents"/>
              <w:bidi w:val="0"/>
              <w:spacing w:before="0" w:after="283"/>
              <w:jc w:val="left"/>
              <w:rPr>
                <w:sz w:val="20"/>
              </w:rPr>
            </w:pPr>
            <w:r>
              <w:rPr>
                <w:sz w:val="20"/>
              </w:rPr>
              <w:t>10.3†</w:t>
            </w:r>
          </w:p>
        </w:tc>
        <w:tc>
          <w:tcPr>
            <w:tcW w:w="60" w:type="dxa"/>
            <w:tcBorders/>
            <w:tcMar>
              <w:bottom w:w="0" w:type="dxa"/>
            </w:tcMar>
            <w:vAlign w:val="center"/>
          </w:tcPr>
          <w:p>
            <w:pPr>
              <w:pStyle w:val="TableContents"/>
              <w:bidi w:val="0"/>
              <w:spacing w:before="0" w:after="283"/>
              <w:jc w:val="left"/>
              <w:rPr/>
            </w:pPr>
            <w:r>
              <w:rPr/>
              <w:t> </w:t>
            </w:r>
          </w:p>
        </w:tc>
        <w:tc>
          <w:tcPr>
            <w:tcW w:w="9381" w:type="dxa"/>
            <w:tcBorders/>
            <w:tcMar>
              <w:bottom w:w="0" w:type="dxa"/>
            </w:tcMar>
            <w:vAlign w:val="center"/>
          </w:tcPr>
          <w:p>
            <w:pPr>
              <w:pStyle w:val="TableContents"/>
              <w:bidi w:val="0"/>
              <w:spacing w:before="0" w:after="283"/>
              <w:jc w:val="both"/>
              <w:rPr/>
            </w:pPr>
            <w:hyperlink r:id="rId11">
              <w:r>
                <w:rPr>
                  <w:rStyle w:val="InternetLink"/>
                  <w:sz w:val="20"/>
                </w:rPr>
                <w:t>Form of Lock-Up Agreement, dated as of April 6, 2026, by and between ProCap Financial, Inc. and each of the Sellers and SAFE Holders (incorporated by reference to Exhibit 10.2 to the Company’s Current Report on Form 8-K filed on February 9, 2026).</w:t>
              </w:r>
            </w:hyperlink>
          </w:p>
        </w:tc>
      </w:tr>
      <w:tr>
        <w:trPr/>
        <w:tc>
          <w:tcPr>
            <w:tcW w:w="764"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81" w:type="dxa"/>
            <w:tcBorders/>
            <w:tcMar>
              <w:bottom w:w="0" w:type="dxa"/>
            </w:tcMar>
            <w:vAlign w:val="center"/>
          </w:tcPr>
          <w:p>
            <w:pPr>
              <w:pStyle w:val="TableContents"/>
              <w:bidi w:val="0"/>
              <w:spacing w:before="0" w:after="283"/>
              <w:jc w:val="both"/>
              <w:rPr/>
            </w:pPr>
            <w:hyperlink r:id="rId12">
              <w:r>
                <w:rPr>
                  <w:rStyle w:val="InternetLink"/>
                  <w:sz w:val="20"/>
                </w:rPr>
                <w:t>Non-Competition and Non-Solicitation Agreement, dated as of April 6, 2026, by and between ProCap Financial, Inc. and Shain Noor (incorporated by reference to Exhibit 10.3 to the Company’s Current Report on Form 8-K, filed with the SEC on April 6, 2026).</w:t>
              </w:r>
            </w:hyperlink>
          </w:p>
        </w:tc>
      </w:tr>
      <w:tr>
        <w:trPr/>
        <w:tc>
          <w:tcPr>
            <w:tcW w:w="764" w:type="dxa"/>
            <w:tcBorders/>
            <w:tcMar>
              <w:bottom w:w="0" w:type="dxa"/>
            </w:tcMar>
            <w:vAlign w:val="center"/>
          </w:tcPr>
          <w:p>
            <w:pPr>
              <w:pStyle w:val="TableContents"/>
              <w:bidi w:val="0"/>
              <w:spacing w:before="0" w:after="283"/>
              <w:jc w:val="left"/>
              <w:rPr>
                <w:sz w:val="20"/>
              </w:rPr>
            </w:pPr>
            <w:r>
              <w:rPr>
                <w:sz w:val="20"/>
              </w:rPr>
              <w:t>10.5</w:t>
            </w:r>
          </w:p>
        </w:tc>
        <w:tc>
          <w:tcPr>
            <w:tcW w:w="60" w:type="dxa"/>
            <w:tcBorders/>
            <w:tcMar>
              <w:bottom w:w="0" w:type="dxa"/>
            </w:tcMar>
            <w:vAlign w:val="center"/>
          </w:tcPr>
          <w:p>
            <w:pPr>
              <w:pStyle w:val="TableContents"/>
              <w:bidi w:val="0"/>
              <w:spacing w:before="0" w:after="283"/>
              <w:jc w:val="left"/>
              <w:rPr/>
            </w:pPr>
            <w:r>
              <w:rPr/>
              <w:t> </w:t>
            </w:r>
          </w:p>
        </w:tc>
        <w:tc>
          <w:tcPr>
            <w:tcW w:w="9381" w:type="dxa"/>
            <w:tcBorders/>
            <w:tcMar>
              <w:bottom w:w="0" w:type="dxa"/>
            </w:tcMar>
            <w:vAlign w:val="center"/>
          </w:tcPr>
          <w:p>
            <w:pPr>
              <w:pStyle w:val="TableContents"/>
              <w:bidi w:val="0"/>
              <w:spacing w:before="0" w:after="283"/>
              <w:jc w:val="both"/>
              <w:rPr/>
            </w:pPr>
            <w:hyperlink r:id="rId13">
              <w:r>
                <w:rPr>
                  <w:rStyle w:val="InternetLink"/>
                  <w:sz w:val="20"/>
                </w:rPr>
                <w:t>Registration Rights Agreement, dated as of April 6, 2026, by and among ProCap Financial, Inc. and the equityholders party thereto (incorporated by reference to Exhibit 10.4 to the Company’s Current Report on Form 8-K, filed with the SEC on April 6, 2026).</w:t>
              </w:r>
            </w:hyperlink>
          </w:p>
        </w:tc>
      </w:tr>
      <w:tr>
        <w:trPr/>
        <w:tc>
          <w:tcPr>
            <w:tcW w:w="764" w:type="dxa"/>
            <w:tcBorders/>
            <w:tcMar>
              <w:bottom w:w="0" w:type="dxa"/>
            </w:tcMar>
            <w:vAlign w:val="center"/>
          </w:tcPr>
          <w:p>
            <w:pPr>
              <w:pStyle w:val="TableContents"/>
              <w:bidi w:val="0"/>
              <w:spacing w:before="0" w:after="283"/>
              <w:jc w:val="left"/>
              <w:rPr>
                <w:sz w:val="20"/>
              </w:rPr>
            </w:pPr>
            <w:r>
              <w:rPr>
                <w:sz w:val="20"/>
              </w:rPr>
              <w:t>10.6</w:t>
            </w:r>
          </w:p>
        </w:tc>
        <w:tc>
          <w:tcPr>
            <w:tcW w:w="60" w:type="dxa"/>
            <w:tcBorders/>
            <w:tcMar>
              <w:bottom w:w="0" w:type="dxa"/>
            </w:tcMar>
            <w:vAlign w:val="center"/>
          </w:tcPr>
          <w:p>
            <w:pPr>
              <w:pStyle w:val="TableContents"/>
              <w:bidi w:val="0"/>
              <w:spacing w:before="0" w:after="283"/>
              <w:jc w:val="left"/>
              <w:rPr/>
            </w:pPr>
            <w:r>
              <w:rPr/>
              <w:t> </w:t>
            </w:r>
          </w:p>
        </w:tc>
        <w:tc>
          <w:tcPr>
            <w:tcW w:w="9381" w:type="dxa"/>
            <w:tcBorders/>
            <w:tcMar>
              <w:bottom w:w="0" w:type="dxa"/>
            </w:tcMar>
            <w:vAlign w:val="center"/>
          </w:tcPr>
          <w:p>
            <w:pPr>
              <w:pStyle w:val="TableContents"/>
              <w:bidi w:val="0"/>
              <w:spacing w:before="0" w:after="283"/>
              <w:jc w:val="both"/>
              <w:rPr/>
            </w:pPr>
            <w:hyperlink r:id="rId14">
              <w:r>
                <w:rPr>
                  <w:rStyle w:val="InternetLink"/>
                  <w:sz w:val="20"/>
                </w:rPr>
                <w:t>Form of SAFE Termination Agreement, dated as of April 6, 2026, by and among ProCap Financial, Inc., CFO Silvia, Inc., and each SAFE Holder party thereto (incorporated by reference to Exhibit 10.3 to the Current Report on Form 8-K filed on February 9, 2026)</w:t>
              </w:r>
            </w:hyperlink>
          </w:p>
        </w:tc>
      </w:tr>
      <w:tr>
        <w:trPr/>
        <w:tc>
          <w:tcPr>
            <w:tcW w:w="764" w:type="dxa"/>
            <w:tcBorders/>
            <w:tcMar>
              <w:bottom w:w="0" w:type="dxa"/>
            </w:tcMar>
            <w:vAlign w:val="center"/>
          </w:tcPr>
          <w:p>
            <w:pPr>
              <w:pStyle w:val="TableContents"/>
              <w:bidi w:val="0"/>
              <w:spacing w:before="0" w:after="283"/>
              <w:jc w:val="left"/>
              <w:rPr>
                <w:sz w:val="20"/>
              </w:rPr>
            </w:pPr>
            <w:r>
              <w:rPr>
                <w:sz w:val="20"/>
              </w:rPr>
              <w:t>10.7+</w:t>
            </w:r>
          </w:p>
        </w:tc>
        <w:tc>
          <w:tcPr>
            <w:tcW w:w="60" w:type="dxa"/>
            <w:tcBorders/>
            <w:tcMar>
              <w:bottom w:w="0" w:type="dxa"/>
            </w:tcMar>
            <w:vAlign w:val="center"/>
          </w:tcPr>
          <w:p>
            <w:pPr>
              <w:pStyle w:val="TableContents"/>
              <w:bidi w:val="0"/>
              <w:spacing w:before="0" w:after="283"/>
              <w:jc w:val="left"/>
              <w:rPr/>
            </w:pPr>
            <w:r>
              <w:rPr/>
              <w:t> </w:t>
            </w:r>
          </w:p>
        </w:tc>
        <w:tc>
          <w:tcPr>
            <w:tcW w:w="9381" w:type="dxa"/>
            <w:tcBorders/>
            <w:tcMar>
              <w:bottom w:w="0" w:type="dxa"/>
            </w:tcMar>
            <w:vAlign w:val="center"/>
          </w:tcPr>
          <w:p>
            <w:pPr>
              <w:pStyle w:val="TableContents"/>
              <w:bidi w:val="0"/>
              <w:spacing w:before="0" w:after="283"/>
              <w:jc w:val="both"/>
              <w:rPr/>
            </w:pPr>
            <w:hyperlink r:id="rId15">
              <w:r>
                <w:rPr>
                  <w:rStyle w:val="InternetLink"/>
                  <w:sz w:val="20"/>
                </w:rPr>
                <w:t>Separation Agreement and General Release, dated April 3, 2026, by and between ProCap Financial, Inc. and Jeff Park (incorporated by reference to Exhibit 10.1 to the Company’s Current Report on Form 8-K filed with the SEC on April 3, 2026).</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w:anchor="DB_003">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w:anchor="DB_002">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w:anchor="DB_001">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w:anchor="DB_004">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included in Exhibit 101).</w:t>
            </w:r>
          </w:p>
        </w:tc>
      </w:tr>
    </w:tbl>
    <w:p>
      <w:pPr>
        <w:pStyle w:val="TextBody"/>
        <w:bidi w:val="0"/>
        <w:spacing w:before="0" w:after="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Schedules and exhibits to this Exhibit omitted pursuant to Regulation S-K Item 601(a)(5). The Registrant agrees to furnish supplementally a copy of any omitted schedule or exhibit to the SEC upon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management contract or compensatory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certain portions of this document that constitute confidential information have been redacted in accordance with Regulation S-K Item 601(b)(2) or (10).</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1970"/>
        <w:gridCol w:w="545"/>
        <w:gridCol w:w="3755"/>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430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Renae Cormier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DB_003"/>
      <w:bookmarkEnd w:id="21"/>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Anthony Pompliano,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June 30, 2026 of ProCap Financial,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Exchange Act Rules 13a-14(a) and 15d-15(a)];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DB_002"/>
      <w:bookmarkEnd w:id="22"/>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Renae Cormier,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June 30, 2026 of ProCap Financial,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Exchange Act Rules 13a-14(a) and 15d-15(a)];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center"/>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65"/>
        <w:gridCol w:w="320"/>
        <w:gridCol w:w="230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Renae Cormier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3" w:name="DB_001"/>
      <w:bookmarkEnd w:id="23"/>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ProCap Financial, Inc. (the “Company”) for the quarter ended June 30, 2026 as filed with the Securities and Exchange Commission on the date hereof (the “Quarterly Report”), I, Anthony Pompliano, Chief Executive Officer (Principal Executive Officer) of the Company, hereby certify, pursuant to 18 U.S.C. § 1350, as adopted pursuant to § 906 of the Sarbanes-Oxley Act of 2002, that to my knowledge: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9" w:type="dxa"/>
            <w:tcBorders/>
            <w:vAlign w:val="center"/>
          </w:tcPr>
          <w:p>
            <w:pPr>
              <w:pStyle w:val="TableContents"/>
              <w:bidi w:val="0"/>
              <w:spacing w:before="0" w:after="283"/>
              <w:jc w:val="both"/>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Quarterly Report fairly presents, in all material respects, the financial condition and results of operations of the Company as of and for the period covered by the Quarterly Report.</w:t>
            </w:r>
          </w:p>
        </w:tc>
      </w:tr>
    </w:tbl>
    <w:p>
      <w:pPr>
        <w:pStyle w:val="TextBody"/>
        <w:bidi w:val="0"/>
        <w:jc w:val="center"/>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furnished pursuant to Item 601(b)(32) of Regulation S-K and shall not be deemed “filed” for purposes of Section 18 of the Exchange Act or incorporated by reference into any filing under the Securities Act or the Exchange Act, except as expressly provided. </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4" w:name="DB_004"/>
      <w:bookmarkEnd w:id="24"/>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ProCap Financial, Inc. (the “Company”) for the quarter ended June 30, 2026 as filed with the Securities and Exchange Commission on the date hereof (the “Quarterly Report”), I, Renae Cormier, Chief Financial Officer (Principal Financial Officer) of the Company, hereby certify, pursuant to 18 U.S.C. § 1350, as adopted pursuant to §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9" w:type="dxa"/>
            <w:tcBorders/>
            <w:vAlign w:val="center"/>
          </w:tcPr>
          <w:p>
            <w:pPr>
              <w:pStyle w:val="TableContents"/>
              <w:bidi w:val="0"/>
              <w:spacing w:before="0" w:after="283"/>
              <w:jc w:val="both"/>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Quarterly Report fairly presents, in all material respects, the financial condition and results of operations of the Company as of and for the period covered by the Quarterly Report.</w:t>
            </w:r>
          </w:p>
        </w:tc>
      </w:tr>
    </w:tbl>
    <w:p>
      <w:pPr>
        <w:pStyle w:val="TextBody"/>
        <w:bidi w:val="0"/>
        <w:spacing w:before="0" w:after="0"/>
        <w:jc w:val="center"/>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65"/>
        <w:gridCol w:w="320"/>
        <w:gridCol w:w="230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Renae Cormier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furnished pursuant to Item 601(b)(32) of Regulation S-K and shall not be deemed “filed” for purposes of Section 18 of the Exchange Act or incorporated by reference into any filing under the Securities Act or the Exchange Act, except as expressly provided.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56263/000121390025059039/ea024706401ex2-1_columbus1.htm" TargetMode="External"/><Relationship Id="rId3" Type="http://schemas.openxmlformats.org/officeDocument/2006/relationships/hyperlink" Target="https://www.sec.gov/Archives/edgar/data/2056263/000121390025068239/ea025038301ex2-1_columbus1.htm" TargetMode="External"/><Relationship Id="rId4" Type="http://schemas.openxmlformats.org/officeDocument/2006/relationships/hyperlink" Target="https://www.sec.gov/Archives/edgar/data/2076163/000149315226005670/ex2-1.htm" TargetMode="External"/><Relationship Id="rId5" Type="http://schemas.openxmlformats.org/officeDocument/2006/relationships/hyperlink" Target="https://www.sec.gov/Archives/edgar/data/2076163/000121390025120791/ea026875701ex3-1_procap.htm" TargetMode="External"/><Relationship Id="rId6" Type="http://schemas.openxmlformats.org/officeDocument/2006/relationships/hyperlink" Target="https://www.sec.gov/Archives/edgar/data/2076163/000121390025120791/ea026875701ex3-2_procap.htm" TargetMode="External"/><Relationship Id="rId7" Type="http://schemas.openxmlformats.org/officeDocument/2006/relationships/hyperlink" Target="https://www.sec.gov/Archives/edgar/data/2056263/000121390025046062/ea024279801ex4-1_columbus1.htm" TargetMode="External"/><Relationship Id="rId8" Type="http://schemas.openxmlformats.org/officeDocument/2006/relationships/hyperlink" Target="https://www.sec.gov/Archives/edgar/data/2076163/000121390025120791/ea026875701ex4-2_procap.htm" TargetMode="External"/><Relationship Id="rId9" Type="http://schemas.openxmlformats.org/officeDocument/2006/relationships/hyperlink" Target="https://www.sec.gov/Archives/edgar/data/2076163/000149315226024172/ex99-2.htm" TargetMode="External"/><Relationship Id="rId10" Type="http://schemas.openxmlformats.org/officeDocument/2006/relationships/hyperlink" Target="https://www.sec.gov/Archives/edgar/data/2076163/000149315226015249/ex10-1.htm" TargetMode="External"/><Relationship Id="rId11" Type="http://schemas.openxmlformats.org/officeDocument/2006/relationships/hyperlink" Target="https://www.sec.gov/Archives/edgar/data/2076163/000149315226005670/ex10-2.htm" TargetMode="External"/><Relationship Id="rId12" Type="http://schemas.openxmlformats.org/officeDocument/2006/relationships/hyperlink" Target="https://www.sec.gov/Archives/edgar/data/2076163/000149315226015249/ex10-3.htm" TargetMode="External"/><Relationship Id="rId13" Type="http://schemas.openxmlformats.org/officeDocument/2006/relationships/hyperlink" Target="https://www.sec.gov/Archives/edgar/data/2076163/000149315226015249/ex10-4.htm" TargetMode="External"/><Relationship Id="rId14" Type="http://schemas.openxmlformats.org/officeDocument/2006/relationships/hyperlink" Target="https://www.sec.gov/Archives/edgar/data/2076163/000149315226005670/ex10-3.htm" TargetMode="External"/><Relationship Id="rId15" Type="http://schemas.openxmlformats.org/officeDocument/2006/relationships/hyperlink" Target="https://www.sec.gov/Archives/edgar/data/2076163/000149315226015126/ex10-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29569</Words>
  <Characters>166516</Characters>
  <CharactersWithSpaces>197642</CharactersWithSpaces>
  <Paragraphs>6562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