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6072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val="false"/>
          <w:i w:val="false"/>
          <w:caps w:val="false"/>
          <w:smallCaps w:val="false"/>
          <w:sz w:val="20"/>
        </w:rPr>
        <w:t>July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D_edei--EntityRegistrantName_c2026"/>
      <w:bookmarkEnd w:id="4"/>
      <w:r>
        <w:rPr>
          <w:rFonts w:ascii="Times New Roman;Times;Serif" w:hAnsi="Times New Roman;Times;Serif"/>
          <w:b/>
          <w:i w:val="false"/>
          <w:caps w:val="false"/>
          <w:smallCaps w:val="false"/>
          <w:sz w:val="36"/>
        </w:rPr>
        <w:t>PROCAP FINANCIAL,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2210"/>
        <w:gridCol w:w="60"/>
        <w:gridCol w:w="1100"/>
        <w:gridCol w:w="60"/>
        <w:gridCol w:w="1535"/>
      </w:tblGrid>
      <w:tr>
        <w:trPr/>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 w:name="xdx_905_edei--EntityIncorporationStateCo"/>
            <w:bookmarkEnd w:id="5"/>
            <w:r>
              <w:rPr>
                <w:rFonts w:ascii="Times New Roman;Times;Serif" w:hAnsi="Times New Roman;Times;Serif"/>
                <w:b w:val="false"/>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B_edei--EntityFileNumber_c20260721"/>
            <w:bookmarkEnd w:id="6"/>
            <w:r>
              <w:rPr>
                <w:rFonts w:ascii="Times New Roman;Times;Serif" w:hAnsi="Times New Roman;Times;Serif"/>
                <w:b w:val="false"/>
                <w:i w:val="false"/>
                <w:caps w:val="false"/>
                <w:smallCaps w:val="false"/>
                <w:sz w:val="20"/>
              </w:rPr>
              <w:t>001-42995</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C_edei--EntityTaxIdentificationNum"/>
            <w:bookmarkEnd w:id="7"/>
            <w:r>
              <w:rPr>
                <w:rFonts w:ascii="Times New Roman;Times;Serif" w:hAnsi="Times New Roman;Times;Serif"/>
                <w:b w:val="false"/>
                <w:i w:val="false"/>
                <w:caps w:val="false"/>
                <w:smallCaps w:val="false"/>
                <w:sz w:val="20"/>
              </w:rPr>
              <w:t>39-2767031</w:t>
            </w:r>
          </w:p>
        </w:tc>
      </w:tr>
      <w:tr>
        <w:trPr/>
        <w:tc>
          <w:tcPr>
            <w:tcW w:w="221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 w:name="xdx_905_edei--EntityAddressAddressLine1_"/>
      <w:bookmarkEnd w:id="8"/>
      <w:r>
        <w:rPr>
          <w:rFonts w:ascii="Times New Roman;Times;Serif" w:hAnsi="Times New Roman;Times;Serif"/>
          <w:b w:val="false"/>
          <w:i w:val="false"/>
          <w:caps w:val="false"/>
          <w:smallCaps w:val="false"/>
          <w:sz w:val="20"/>
        </w:rPr>
        <w:t xml:space="preserve">600 Lexington Avenue, </w:t>
      </w:r>
      <w:bookmarkStart w:id="9" w:name="xdx_909_edei--EntityAddressAddressLine2_"/>
      <w:bookmarkEnd w:id="9"/>
      <w:r>
        <w:rPr>
          <w:rFonts w:ascii="Times New Roman;Times;Serif" w:hAnsi="Times New Roman;Times;Serif"/>
          <w:b w:val="false"/>
          <w:i w:val="false"/>
          <w:caps w:val="false"/>
          <w:smallCaps w:val="false"/>
          <w:sz w:val="20"/>
        </w:rPr>
        <w:t>Floor 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C_edei--EntityAddressCityOrTown_c2"/>
      <w:bookmarkEnd w:id="10"/>
      <w:r>
        <w:rPr>
          <w:rFonts w:ascii="Times New Roman;Times;Serif" w:hAnsi="Times New Roman;Times;Serif"/>
          <w:b w:val="false"/>
          <w:i w:val="false"/>
          <w:caps w:val="false"/>
          <w:smallCaps w:val="false"/>
          <w:sz w:val="20"/>
        </w:rPr>
        <w:t xml:space="preserve">New York, </w:t>
      </w:r>
      <w:bookmarkStart w:id="11" w:name="xdx_900_edei--EntityAddressStateOrProvin"/>
      <w:bookmarkEnd w:id="11"/>
      <w:r>
        <w:rPr>
          <w:rFonts w:ascii="Times New Roman;Times;Serif" w:hAnsi="Times New Roman;Times;Serif"/>
          <w:b w:val="false"/>
          <w:i w:val="false"/>
          <w:caps w:val="false"/>
          <w:smallCaps w:val="false"/>
          <w:sz w:val="20"/>
        </w:rPr>
        <w:t xml:space="preserve">New York </w:t>
      </w:r>
      <w:bookmarkStart w:id="12" w:name="xdx_904_edei--EntityAddressPostalZipCode"/>
      <w:bookmarkEnd w:id="12"/>
      <w:r>
        <w:rPr>
          <w:rFonts w:ascii="Times New Roman;Times;Serif" w:hAnsi="Times New Roman;Times;Serif"/>
          <w:b w:val="false"/>
          <w:i w:val="false"/>
          <w:caps w:val="false"/>
          <w:smallCaps w:val="false"/>
          <w:sz w:val="20"/>
        </w:rPr>
        <w:t>10022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13" w:name="xdx_903_edei--CityAreaCode_c20260721__20"/>
      <w:bookmarkEnd w:id="13"/>
      <w:r>
        <w:rPr>
          <w:rFonts w:ascii="Times New Roman;Times;Serif" w:hAnsi="Times New Roman;Times;Serif"/>
          <w:b w:val="false"/>
          <w:i w:val="false"/>
          <w:caps w:val="false"/>
          <w:smallCaps w:val="false"/>
          <w:sz w:val="20"/>
        </w:rPr>
        <w:t xml:space="preserve">(305) </w:t>
      </w:r>
      <w:bookmarkStart w:id="14" w:name="xdx_90D_edei--LocalPhoneNumber_c20260721"/>
      <w:bookmarkEnd w:id="14"/>
      <w:r>
        <w:rPr>
          <w:rFonts w:ascii="Times New Roman;Times;Serif" w:hAnsi="Times New Roman;Times;Serif"/>
          <w:b w:val="false"/>
          <w:i w:val="false"/>
          <w:caps w:val="false"/>
          <w:smallCaps w:val="false"/>
          <w:sz w:val="20"/>
        </w:rPr>
        <w:t>938-0912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7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C_edei--SolicitingMaterial_c202607"/>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9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D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03"/>
        <w:gridCol w:w="60"/>
        <w:gridCol w:w="1261"/>
        <w:gridCol w:w="60"/>
        <w:gridCol w:w="2521"/>
      </w:tblGrid>
      <w:tr>
        <w:trPr/>
        <w:tc>
          <w:tcPr>
            <w:tcW w:w="630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26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52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30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9" w:name="xdx_90E_edei--Security12bTitle_c20260721"/>
            <w:bookmarkEnd w:id="19"/>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12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F_edei--TradingSymbol_c20260721__2"/>
            <w:bookmarkEnd w:id="20"/>
            <w:r>
              <w:rPr>
                <w:rFonts w:ascii="Times New Roman;Times;Serif" w:hAnsi="Times New Roman;Times;Serif"/>
                <w:b w:val="false"/>
                <w:i w:val="false"/>
                <w:caps w:val="false"/>
                <w:smallCaps w:val="false"/>
                <w:sz w:val="20"/>
              </w:rPr>
              <w:t>BRR</w:t>
            </w:r>
          </w:p>
        </w:tc>
        <w:tc>
          <w:tcPr>
            <w:tcW w:w="60" w:type="dxa"/>
            <w:tcBorders/>
            <w:tcMar>
              <w:bottom w:w="0" w:type="dxa"/>
            </w:tcMar>
            <w:vAlign w:val="center"/>
          </w:tcPr>
          <w:p>
            <w:pPr>
              <w:pStyle w:val="TableContents"/>
              <w:bidi w:val="0"/>
              <w:spacing w:before="0" w:after="283"/>
              <w:jc w:val="left"/>
              <w:rPr/>
            </w:pPr>
            <w:r>
              <w:rPr/>
              <w:t> </w:t>
            </w:r>
          </w:p>
        </w:tc>
        <w:tc>
          <w:tcPr>
            <w:tcW w:w="252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E_edei--SecurityExchangeName_c2026"/>
            <w:bookmarkEnd w:id="21"/>
            <w:r>
              <w:rPr>
                <w:rFonts w:ascii="Times New Roman;Times;Serif" w:hAnsi="Times New Roman;Times;Serif"/>
                <w:b w:val="false"/>
                <w:i w:val="false"/>
                <w:caps w:val="false"/>
                <w:smallCaps w:val="false"/>
                <w:sz w:val="20"/>
              </w:rPr>
              <w:t>The Nasdaq Stock Market LLC</w:t>
            </w:r>
          </w:p>
        </w:tc>
      </w:tr>
      <w:tr>
        <w:trPr/>
        <w:tc>
          <w:tcPr>
            <w:tcW w:w="630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2" w:name="xdx_901_edei--Security12bTitle_c20260721"/>
            <w:bookmarkEnd w:id="22"/>
            <w:r>
              <w:rPr>
                <w:rFonts w:ascii="Times New Roman;Times;Serif" w:hAnsi="Times New Roman;Times;Serif"/>
                <w:b w:val="false"/>
                <w:i w:val="false"/>
                <w:caps w:val="false"/>
                <w:smallCaps w:val="false"/>
                <w:sz w:val="20"/>
              </w:rPr>
              <w:t>Redeemable warrants, each whole warrant exercisable for one share of Common Stock at an exercise price of $11.50 per share</w:t>
            </w:r>
          </w:p>
        </w:tc>
        <w:tc>
          <w:tcPr>
            <w:tcW w:w="60" w:type="dxa"/>
            <w:tcBorders/>
            <w:tcMar>
              <w:bottom w:w="0" w:type="dxa"/>
            </w:tcMar>
            <w:vAlign w:val="center"/>
          </w:tcPr>
          <w:p>
            <w:pPr>
              <w:pStyle w:val="TableContents"/>
              <w:bidi w:val="0"/>
              <w:spacing w:before="0" w:after="283"/>
              <w:jc w:val="left"/>
              <w:rPr/>
            </w:pPr>
            <w:r>
              <w:rPr/>
              <w:t> </w:t>
            </w:r>
          </w:p>
        </w:tc>
        <w:tc>
          <w:tcPr>
            <w:tcW w:w="12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F_edei--TradingSymbol_c20260721__2"/>
            <w:bookmarkEnd w:id="23"/>
            <w:r>
              <w:rPr>
                <w:rFonts w:ascii="Times New Roman;Times;Serif" w:hAnsi="Times New Roman;Times;Serif"/>
                <w:b w:val="false"/>
                <w:i w:val="false"/>
                <w:caps w:val="false"/>
                <w:smallCaps w:val="false"/>
                <w:sz w:val="20"/>
              </w:rPr>
              <w:t>BRRWW</w:t>
            </w:r>
          </w:p>
        </w:tc>
        <w:tc>
          <w:tcPr>
            <w:tcW w:w="60" w:type="dxa"/>
            <w:tcBorders/>
            <w:tcMar>
              <w:bottom w:w="0" w:type="dxa"/>
            </w:tcMar>
            <w:vAlign w:val="center"/>
          </w:tcPr>
          <w:p>
            <w:pPr>
              <w:pStyle w:val="TableContents"/>
              <w:bidi w:val="0"/>
              <w:spacing w:before="0" w:after="283"/>
              <w:jc w:val="left"/>
              <w:rPr/>
            </w:pPr>
            <w:r>
              <w:rPr/>
              <w:t> </w:t>
            </w:r>
          </w:p>
        </w:tc>
        <w:tc>
          <w:tcPr>
            <w:tcW w:w="252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3_edei--SecurityExchangeName_c2026"/>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0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9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January 26, 2026, ProCap Financial, Inc. (the “Company”) received a deficiency letter from the Listing Qualifications staff (the “Staff”) of The Nasdaq Stock Market LLC (“Nasdaq”) notifying the Company that it was not in compliance with the independent director and audit committee requirements for continued listing on the Nasdaq Global Market set forth in Nasdaq Listing Rules 5605(c)(2)(A) and 5605(b)(1), respectively (the “Rules”), as disclosed in the Company’s Current Report on Form 8-K filed with the U.S. Securities and Exchange Commission (the “SEC”) on January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the Company filed a Current Report on Form 8-K with the SEC disclosing the appointment of Benjamin Buchanan to the Company’s Board of Directors and its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the Company received a letter from the Staff advising that, based on the information regarding the appointment of Mr. Buchanan to the Company’s Board of Directors and audit committee as detailed in the Company’s Current Report on Form 8-K filed July 16, 2026, the Staff has determined that the Company complies with the Rules and that the matter is now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28" w:type="dxa"/>
          <w:right w:w="0" w:type="dxa"/>
        </w:tblCellMar>
      </w:tblPr>
      <w:tblGrid>
        <w:gridCol w:w="1400"/>
        <w:gridCol w:w="60"/>
        <w:gridCol w:w="6485"/>
      </w:tblGrid>
      <w:tr>
        <w:trPr/>
        <w:tc>
          <w:tcPr>
            <w:tcW w:w="14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1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tbl>
      <w:tblPr>
        <w:tblW w:w="4125" w:type="dxa"/>
        <w:jc w:val="left"/>
        <w:tblInd w:w="0" w:type="dxa"/>
        <w:tblLayout w:type="fixed"/>
        <w:tblCellMar>
          <w:top w:w="0" w:type="dxa"/>
          <w:left w:w="0" w:type="dxa"/>
          <w:bottom w:w="0" w:type="dxa"/>
          <w:right w:w="0" w:type="dxa"/>
        </w:tblCellMar>
      </w:tblPr>
      <w:tblGrid>
        <w:gridCol w:w="1625"/>
        <w:gridCol w:w="545"/>
        <w:gridCol w:w="1955"/>
      </w:tblGrid>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21,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Anthony Pompliano</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Pompliano</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600</Words>
  <Characters>3246</Characters>
  <CharactersWithSpaces>3844</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