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720"/>
        <w:jc w:val="righ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333-292590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DATED August 10, 2026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JANUARY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20,100,833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18,071,500 Shares of Common Stock Issuable Upon Conversion of the Convertible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12,852,500 Shares of Common Stock Issuable Upon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contained in the prospectus dated January 20, 2026 (as may be supplemented or amended from time to time,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which forms part of our registration statement on Form S-1 (File No. 333-292590) with the information contained in our Annual Report on Form 10-Q that was filed with the Securities and Exchange Commission on May 14, 2026 (the “</w:t>
      </w:r>
      <w:r>
        <w:rPr>
          <w:rFonts w:ascii="Times New Roman;Times;Serif" w:hAnsi="Times New Roman;Times;Serif"/>
          <w:b w:val="false"/>
          <w:i w:val="false"/>
          <w:caps w:val="false"/>
          <w:smallCaps w:val="false"/>
          <w:sz w:val="20"/>
          <w:u w:val="single"/>
        </w:rPr>
        <w:t>Annual Report</w:t>
      </w:r>
      <w:r>
        <w:rPr>
          <w:rFonts w:ascii="Times New Roman;Times;Serif" w:hAnsi="Times New Roman;Times;Serif"/>
          <w:b w:val="false"/>
          <w:i w:val="false"/>
          <w:caps w:val="false"/>
          <w:smallCaps w:val="false"/>
          <w:sz w:val="20"/>
        </w:rPr>
        <w:t>”). Accordingly, we have attached the Annual Report to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relates to 51,024,833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20,100,833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18,071,500 shares of Common Stock issuable upon conversion of the Convertible Notes (as defined below) by the Selling Securityholders, and (iii) the issuance by the Company of up to 12,852,500 shares of Common Stock that are issuable upon the exercise of 12,852,500 warrants, including 12,500,000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This prospectus supplement is qualified by reference to the Prospectus except to the extent that the information in this prospectus supplement supersedes the information contained in the Prospectus. This prospectus supplement is not complete without, and may not be delivered or utilized except in connection with, the Prospectus.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“BRR” and our Warrants are listed on the Nasdaq Capital Market under the symbol “BRRWW.” On March 3, 2026, the closing price of our Common Stock was $2.95 and the closing price for our Warrants was $0.4631.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ProCap Financial,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001-42995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39-2767031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Lexington Avenue, Floor 2, New York, NY 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938-0912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630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720" w:right="0" w:hanging="0"/>
        <w:jc w:val="left"/>
        <w:rPr>
          <w:caps w:val="false"/>
          <w:smallCaps w:val="false"/>
        </w:rPr>
      </w:pPr>
      <w:r>
        <w:rPr>
          <w:caps w:val="false"/>
          <w:smallCaps w:val="false"/>
        </w:rPr>
        <w:t> </w:t>
      </w:r>
    </w:p>
    <w:p>
      <w:pPr>
        <w:pStyle w:val="TextBody"/>
        <w:bidi w:val="0"/>
        <w:ind w:left="720" w:right="0" w:hanging="0"/>
        <w:jc w:val="left"/>
        <w:rPr>
          <w:bdr w:val="single" w:sz="8" w:space="1" w:color="000000"/>
        </w:rPr>
      </w:pPr>
      <w:r>
        <w:rPr>
          <w:bdr w:val="single" w:sz="8" w:space="1" w:color="000000"/>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“Effective Date”), the Board of Directors (the “Board”) of ProCap Financial, Inc. (the “Company”) elected Benjamin Buchanan (“Buchanan”) as an independent director of the Company, effective as of the Effective Date. He is 40 years old.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2025, Mr. Buchanan has served as the Chief Executive Officer of All Current, a provider of electrical solutions. From September 2019 to July 2022, Mr. Buchanan served as Chief Financial Officer for LindFast Solutions Group, the leading master distributor of fasteners in North America. Mr. Buchanan then served as Executive Vice President and Chief Operating Officer of LindFast Solutions Group from July 2022 to October 2024. Prior to his time at LindFast Solutions Group, Mr. Buchanan served as the Chief Financial Officer of US Greenfiber, a cellulose insulation manufacturer, from July 2018 to August 2019. Additionally, Mr. Buchanan has served on the board of directors of Argus Monitoring Solutions since February 2022. Mr. Buchanan earned a degree in Economics from Samford University and an MBA from the University of Kentucky. We believe Mr. Buchanan is well qualified to serve as a member of our board of directors due to his extensive strategic, operational and broad business experience.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Buchanan satisfies the independence standards set forth in Nasdaq Listing Rule 5605(a)(2) and Rule 10A-3 under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Buchanan has been appointed to serve on the following committees of the Board: the Audit Committee, Compensation Committee, and Nomination and Governance Committee. Buchanan’s appointment to the Audit Committee restores the Audit Committee to three members and brings the Company into compliance with the requirements of Nasdaq Listing Rule 5605(c)(2)(A). Buchanan’s appointment also restores a majority of independent directors on the Board, bringing the Company into compliance with the requirements of Nasdaq Listing Rule 5605(b).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Buchanan and any other persons pursuant to which Buchanan was selected as a director. There are no family relationships between Buchanan and any director or executive officer of the Company. There are no transactions in which Buchanan has an interest requiring disclosure under Item 404(a) of Regulation S-K (17 CFR 229.404(a)).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Buchanan will participate in the Company’s standard non-employee director compensation program, the terms of which were previously disclosed in the Company’s most recent proxy statement filed with the SEC on March 2, 2026. Mr. Buchanon’s compensation will be prorated to reflect the commencement date of his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470"/>
        <w:gridCol w:w="1130"/>
        <w:gridCol w:w="545"/>
        <w:gridCol w:w="1595"/>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Kyle Wood</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Wood</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1384</Words>
  <Characters>7659</Characters>
  <CharactersWithSpaces>9044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